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9FB4" w14:textId="2B15CACF" w:rsidR="00495A62" w:rsidRDefault="00000000">
      <w:pPr>
        <w:spacing w:before="1440" w:after="200"/>
        <w:jc w:val="center"/>
      </w:pPr>
      <w:r>
        <w:rPr>
          <w:b/>
          <w:caps/>
          <w:color w:val="2E4057"/>
          <w:sz w:val="40"/>
          <w:szCs w:val="40"/>
        </w:rPr>
        <w:t>STATE AND LOCAL GOVERNMENT</w:t>
      </w:r>
    </w:p>
    <w:p w14:paraId="6C2A9FE5" w14:textId="01E7B13F" w:rsidR="00495A62" w:rsidRDefault="00000000">
      <w:pPr>
        <w:spacing w:after="600"/>
        <w:jc w:val="center"/>
      </w:pPr>
      <w:r>
        <w:rPr>
          <w:b/>
          <w:caps/>
          <w:color w:val="2E4057"/>
          <w:sz w:val="40"/>
          <w:szCs w:val="40"/>
        </w:rPr>
        <w:t xml:space="preserve">PROCUREMENT LAW </w:t>
      </w:r>
      <w:r w:rsidR="00401407">
        <w:rPr>
          <w:b/>
          <w:caps/>
          <w:color w:val="2E4057"/>
          <w:sz w:val="40"/>
          <w:szCs w:val="40"/>
        </w:rPr>
        <w:t xml:space="preserve">REVIEW </w:t>
      </w:r>
      <w:r>
        <w:rPr>
          <w:b/>
          <w:caps/>
          <w:color w:val="2E4057"/>
          <w:sz w:val="40"/>
          <w:szCs w:val="40"/>
        </w:rPr>
        <w:t>COMMITTEE</w:t>
      </w:r>
    </w:p>
    <w:p w14:paraId="3A44F66C" w14:textId="77777777" w:rsidR="00495A62" w:rsidRDefault="00000000">
      <w:pPr>
        <w:pBdr>
          <w:bottom w:val="single" w:sz="6" w:space="1" w:color="2E4057"/>
        </w:pBdr>
        <w:spacing w:before="200" w:after="200"/>
      </w:pPr>
      <w:r>
        <w:t xml:space="preserve"> </w:t>
      </w:r>
    </w:p>
    <w:p w14:paraId="02AE6C2C" w14:textId="77777777" w:rsidR="00495A62" w:rsidRDefault="00000000">
      <w:pPr>
        <w:spacing w:before="600" w:after="200"/>
        <w:jc w:val="center"/>
      </w:pPr>
      <w:r>
        <w:rPr>
          <w:b/>
          <w:caps/>
          <w:color w:val="666666"/>
          <w:sz w:val="28"/>
          <w:szCs w:val="28"/>
        </w:rPr>
        <w:t>WORKING PAPER</w:t>
      </w:r>
    </w:p>
    <w:p w14:paraId="78788CC7" w14:textId="77777777" w:rsidR="00495A62" w:rsidRDefault="00000000">
      <w:pPr>
        <w:spacing w:after="800"/>
        <w:jc w:val="center"/>
      </w:pPr>
      <w:r>
        <w:rPr>
          <w:b/>
          <w:color w:val="2E4057"/>
          <w:sz w:val="36"/>
          <w:szCs w:val="36"/>
        </w:rPr>
        <w:t>Integrating Proof-of-Concept Procurement for Genuinely Novel Technologies into the ABA Model Procurement Code</w:t>
      </w:r>
    </w:p>
    <w:p w14:paraId="43BDA25C" w14:textId="77777777" w:rsidR="00495A62" w:rsidRDefault="00000000">
      <w:pPr>
        <w:pBdr>
          <w:bottom w:val="single" w:sz="6" w:space="1" w:color="2E4057"/>
        </w:pBdr>
        <w:spacing w:before="200" w:after="200"/>
      </w:pPr>
      <w:r>
        <w:t xml:space="preserve"> </w:t>
      </w:r>
    </w:p>
    <w:p w14:paraId="5D0A7BC3" w14:textId="77777777" w:rsidR="00495A62" w:rsidRDefault="00000000">
      <w:pPr>
        <w:spacing w:before="600" w:after="120"/>
        <w:jc w:val="center"/>
      </w:pPr>
      <w:r>
        <w:rPr>
          <w:color w:val="444444"/>
        </w:rPr>
        <w:t>April 2026</w:t>
      </w:r>
    </w:p>
    <w:p w14:paraId="763AC798" w14:textId="77777777" w:rsidR="00495A62" w:rsidRDefault="00000000">
      <w:pPr>
        <w:spacing w:before="120" w:after="120"/>
        <w:jc w:val="center"/>
      </w:pPr>
      <w:r>
        <w:rPr>
          <w:i/>
          <w:color w:val="444444"/>
        </w:rPr>
        <w:t>DRAFT FOR COMMITTEE REVIEW — Complete Working Paper: Parts I through VIII</w:t>
      </w:r>
    </w:p>
    <w:p w14:paraId="480817AA" w14:textId="77777777" w:rsidR="00495A62" w:rsidRDefault="00000000">
      <w:pPr>
        <w:pBdr>
          <w:bottom w:val="single" w:sz="6" w:space="1" w:color="2E4057"/>
        </w:pBdr>
        <w:spacing w:before="200" w:after="200"/>
      </w:pPr>
      <w:r>
        <w:t xml:space="preserve"> </w:t>
      </w:r>
    </w:p>
    <w:p w14:paraId="232C549A" w14:textId="77777777" w:rsidR="00CC298D" w:rsidRDefault="00CC298D">
      <w:pPr>
        <w:rPr>
          <w:b/>
          <w:bCs/>
          <w:color w:val="2E4057"/>
          <w:sz w:val="32"/>
          <w:szCs w:val="32"/>
        </w:rPr>
      </w:pPr>
      <w:r>
        <w:br w:type="page"/>
      </w:r>
    </w:p>
    <w:p w14:paraId="7980C1ED" w14:textId="13363F70" w:rsidR="00495A62" w:rsidRDefault="00000000">
      <w:pPr>
        <w:pStyle w:val="Heading1"/>
        <w:spacing w:before="560" w:after="200"/>
      </w:pPr>
      <w:r>
        <w:lastRenderedPageBreak/>
        <w:t>TABLE OF CONTENTS</w:t>
      </w:r>
    </w:p>
    <w:p w14:paraId="5B9C93E3" w14:textId="77777777" w:rsidR="00495A62" w:rsidRDefault="00495A62">
      <w:pPr>
        <w:spacing w:before="80" w:after="80"/>
      </w:pPr>
    </w:p>
    <w:p w14:paraId="70E398D7" w14:textId="77777777" w:rsidR="0050278F" w:rsidRDefault="0050278F" w:rsidP="0050278F">
      <w:pPr>
        <w:tabs>
          <w:tab w:val="left" w:pos="480"/>
        </w:tabs>
        <w:spacing w:before="120" w:after="60"/>
      </w:pPr>
      <w:r>
        <w:rPr>
          <w:b/>
          <w:bCs/>
          <w:color w:val="2E4057"/>
        </w:rPr>
        <w:t>PART I</w:t>
      </w:r>
      <w:r>
        <w:rPr>
          <w:b/>
          <w:bCs/>
          <w:color w:val="2E4057"/>
        </w:rPr>
        <w:tab/>
        <w:t>Introduction and Purpose of This Working Paper</w:t>
      </w:r>
    </w:p>
    <w:p w14:paraId="666B57CE" w14:textId="77777777" w:rsidR="0050278F" w:rsidRDefault="0050278F" w:rsidP="0050278F">
      <w:pPr>
        <w:tabs>
          <w:tab w:val="left" w:pos="840"/>
        </w:tabs>
        <w:spacing w:before="60" w:after="40"/>
        <w:ind w:left="360"/>
      </w:pPr>
      <w:r>
        <w:rPr>
          <w:color w:val="222222"/>
          <w:sz w:val="23"/>
          <w:szCs w:val="23"/>
        </w:rPr>
        <w:t>A.</w:t>
      </w:r>
      <w:r>
        <w:rPr>
          <w:color w:val="222222"/>
          <w:sz w:val="23"/>
          <w:szCs w:val="23"/>
        </w:rPr>
        <w:tab/>
        <w:t xml:space="preserve">The </w:t>
      </w:r>
      <w:proofErr w:type="gramStart"/>
      <w:r>
        <w:rPr>
          <w:color w:val="222222"/>
          <w:sz w:val="23"/>
          <w:szCs w:val="23"/>
        </w:rPr>
        <w:t>Problem</w:t>
      </w:r>
      <w:proofErr w:type="gramEnd"/>
      <w:r>
        <w:rPr>
          <w:color w:val="222222"/>
          <w:sz w:val="23"/>
          <w:szCs w:val="23"/>
        </w:rPr>
        <w:t xml:space="preserve"> This Paper Addresses</w:t>
      </w:r>
    </w:p>
    <w:p w14:paraId="3F1462A9" w14:textId="77777777" w:rsidR="0050278F" w:rsidRDefault="0050278F" w:rsidP="0050278F">
      <w:pPr>
        <w:tabs>
          <w:tab w:val="left" w:pos="840"/>
        </w:tabs>
        <w:spacing w:before="60" w:after="40"/>
        <w:ind w:left="360"/>
      </w:pPr>
      <w:r>
        <w:rPr>
          <w:color w:val="222222"/>
          <w:sz w:val="23"/>
          <w:szCs w:val="23"/>
        </w:rPr>
        <w:t>B.</w:t>
      </w:r>
      <w:r>
        <w:rPr>
          <w:color w:val="222222"/>
          <w:sz w:val="23"/>
          <w:szCs w:val="23"/>
        </w:rPr>
        <w:tab/>
        <w:t>Scope and Limitations of This Paper</w:t>
      </w:r>
    </w:p>
    <w:p w14:paraId="0C19CBA8" w14:textId="77777777" w:rsidR="0050278F" w:rsidRDefault="0050278F" w:rsidP="0050278F">
      <w:pPr>
        <w:tabs>
          <w:tab w:val="left" w:pos="840"/>
        </w:tabs>
        <w:spacing w:before="60" w:after="40"/>
        <w:ind w:left="360"/>
      </w:pPr>
      <w:r>
        <w:rPr>
          <w:color w:val="222222"/>
          <w:sz w:val="23"/>
          <w:szCs w:val="23"/>
        </w:rPr>
        <w:t>C.</w:t>
      </w:r>
      <w:r>
        <w:rPr>
          <w:color w:val="222222"/>
          <w:sz w:val="23"/>
          <w:szCs w:val="23"/>
        </w:rPr>
        <w:tab/>
        <w:t>Organization of This Paper</w:t>
      </w:r>
    </w:p>
    <w:p w14:paraId="54A6B2D6" w14:textId="77777777" w:rsidR="0050278F" w:rsidRDefault="0050278F" w:rsidP="0050278F">
      <w:pPr>
        <w:spacing w:before="60" w:after="60"/>
      </w:pPr>
    </w:p>
    <w:p w14:paraId="1A27AE89" w14:textId="77777777" w:rsidR="0050278F" w:rsidRDefault="0050278F" w:rsidP="0050278F">
      <w:pPr>
        <w:tabs>
          <w:tab w:val="left" w:pos="480"/>
        </w:tabs>
        <w:spacing w:before="120" w:after="60"/>
      </w:pPr>
      <w:r>
        <w:rPr>
          <w:b/>
          <w:bCs/>
          <w:color w:val="2E4057"/>
        </w:rPr>
        <w:t>PART II</w:t>
      </w:r>
      <w:r>
        <w:rPr>
          <w:b/>
          <w:bCs/>
          <w:color w:val="2E4057"/>
        </w:rPr>
        <w:tab/>
        <w:t>The Problem in Detail</w:t>
      </w:r>
    </w:p>
    <w:p w14:paraId="7F5F7BBB" w14:textId="77777777" w:rsidR="0050278F" w:rsidRDefault="0050278F" w:rsidP="0050278F">
      <w:pPr>
        <w:tabs>
          <w:tab w:val="left" w:pos="840"/>
        </w:tabs>
        <w:spacing w:before="60" w:after="40"/>
        <w:ind w:left="360"/>
      </w:pPr>
      <w:r>
        <w:rPr>
          <w:color w:val="222222"/>
          <w:sz w:val="23"/>
          <w:szCs w:val="23"/>
        </w:rPr>
        <w:t>A.</w:t>
      </w:r>
      <w:r>
        <w:rPr>
          <w:color w:val="222222"/>
          <w:sz w:val="23"/>
          <w:szCs w:val="23"/>
        </w:rPr>
        <w:tab/>
        <w:t>How the Current MPC Handles Proof-of-Concept Procurement</w:t>
      </w:r>
    </w:p>
    <w:p w14:paraId="0D1ABD75" w14:textId="77777777" w:rsidR="0050278F" w:rsidRDefault="0050278F" w:rsidP="0050278F">
      <w:pPr>
        <w:tabs>
          <w:tab w:val="left" w:pos="1200"/>
        </w:tabs>
        <w:spacing w:before="60" w:after="40"/>
        <w:ind w:left="720"/>
      </w:pPr>
      <w:r>
        <w:rPr>
          <w:color w:val="222222"/>
          <w:sz w:val="22"/>
          <w:szCs w:val="22"/>
        </w:rPr>
        <w:t>1.</w:t>
      </w:r>
      <w:r>
        <w:rPr>
          <w:color w:val="222222"/>
          <w:sz w:val="22"/>
          <w:szCs w:val="22"/>
        </w:rPr>
        <w:tab/>
        <w:t>The Competitive Sealed Proposal Forced Fit</w:t>
      </w:r>
    </w:p>
    <w:p w14:paraId="55E2E32E" w14:textId="77777777" w:rsidR="0050278F" w:rsidRDefault="0050278F" w:rsidP="0050278F">
      <w:pPr>
        <w:tabs>
          <w:tab w:val="left" w:pos="1200"/>
        </w:tabs>
        <w:spacing w:before="60" w:after="40"/>
        <w:ind w:left="1260" w:hanging="540"/>
      </w:pPr>
      <w:r>
        <w:rPr>
          <w:color w:val="222222"/>
          <w:sz w:val="22"/>
          <w:szCs w:val="22"/>
        </w:rPr>
        <w:t>2.</w:t>
      </w:r>
      <w:r>
        <w:rPr>
          <w:color w:val="222222"/>
          <w:sz w:val="22"/>
          <w:szCs w:val="22"/>
        </w:rPr>
        <w:tab/>
        <w:t>The Solution Bias Problem</w:t>
      </w:r>
    </w:p>
    <w:p w14:paraId="7C3245F5" w14:textId="77777777" w:rsidR="0050278F" w:rsidRDefault="0050278F" w:rsidP="0050278F">
      <w:pPr>
        <w:tabs>
          <w:tab w:val="left" w:pos="1200"/>
        </w:tabs>
        <w:spacing w:before="60" w:after="40"/>
        <w:ind w:left="720"/>
      </w:pPr>
      <w:r>
        <w:rPr>
          <w:color w:val="222222"/>
          <w:sz w:val="22"/>
          <w:szCs w:val="22"/>
        </w:rPr>
        <w:t>3.</w:t>
      </w:r>
      <w:r>
        <w:rPr>
          <w:color w:val="222222"/>
          <w:sz w:val="22"/>
          <w:szCs w:val="22"/>
        </w:rPr>
        <w:tab/>
        <w:t>The Sole Source Trap</w:t>
      </w:r>
    </w:p>
    <w:p w14:paraId="2FB2B793" w14:textId="77777777" w:rsidR="0050278F" w:rsidRDefault="0050278F" w:rsidP="0050278F">
      <w:pPr>
        <w:tabs>
          <w:tab w:val="left" w:pos="840"/>
        </w:tabs>
        <w:spacing w:before="60" w:after="40"/>
        <w:ind w:left="360"/>
      </w:pPr>
      <w:r>
        <w:rPr>
          <w:color w:val="222222"/>
          <w:sz w:val="23"/>
          <w:szCs w:val="23"/>
        </w:rPr>
        <w:t>B.</w:t>
      </w:r>
      <w:r>
        <w:rPr>
          <w:color w:val="222222"/>
          <w:sz w:val="23"/>
          <w:szCs w:val="23"/>
        </w:rPr>
        <w:tab/>
        <w:t xml:space="preserve">Why "New to Everyone" Requires </w:t>
      </w:r>
      <w:proofErr w:type="gramStart"/>
      <w:r>
        <w:rPr>
          <w:color w:val="222222"/>
          <w:sz w:val="23"/>
          <w:szCs w:val="23"/>
        </w:rPr>
        <w:t>a Different</w:t>
      </w:r>
      <w:proofErr w:type="gramEnd"/>
      <w:r>
        <w:rPr>
          <w:color w:val="222222"/>
          <w:sz w:val="23"/>
          <w:szCs w:val="23"/>
        </w:rPr>
        <w:t xml:space="preserve"> Legal Architecture</w:t>
      </w:r>
    </w:p>
    <w:p w14:paraId="763947B5" w14:textId="77777777" w:rsidR="0050278F" w:rsidRDefault="0050278F" w:rsidP="0050278F">
      <w:pPr>
        <w:tabs>
          <w:tab w:val="left" w:pos="840"/>
        </w:tabs>
        <w:spacing w:before="60" w:after="40"/>
        <w:ind w:left="360"/>
      </w:pPr>
      <w:r>
        <w:rPr>
          <w:color w:val="222222"/>
          <w:sz w:val="23"/>
          <w:szCs w:val="23"/>
        </w:rPr>
        <w:t>C.</w:t>
      </w:r>
      <w:r>
        <w:rPr>
          <w:color w:val="222222"/>
          <w:sz w:val="23"/>
          <w:szCs w:val="23"/>
        </w:rPr>
        <w:tab/>
        <w:t>The Minimum Viable Product as Analytical Bridge</w:t>
      </w:r>
    </w:p>
    <w:p w14:paraId="0E80EBA2" w14:textId="77777777" w:rsidR="0050278F" w:rsidRDefault="0050278F" w:rsidP="0050278F">
      <w:pPr>
        <w:tabs>
          <w:tab w:val="left" w:pos="840"/>
        </w:tabs>
        <w:spacing w:before="60" w:after="40"/>
        <w:ind w:left="360"/>
      </w:pPr>
      <w:r>
        <w:rPr>
          <w:color w:val="222222"/>
          <w:sz w:val="23"/>
          <w:szCs w:val="23"/>
        </w:rPr>
        <w:t>D.</w:t>
      </w:r>
      <w:r>
        <w:rPr>
          <w:color w:val="222222"/>
          <w:sz w:val="23"/>
          <w:szCs w:val="23"/>
        </w:rPr>
        <w:tab/>
        <w:t>The Fiduciary Dimension of Government PoC Procurement</w:t>
      </w:r>
    </w:p>
    <w:p w14:paraId="02DC6984" w14:textId="77777777" w:rsidR="0050278F" w:rsidRDefault="0050278F" w:rsidP="0050278F">
      <w:pPr>
        <w:tabs>
          <w:tab w:val="left" w:pos="840"/>
        </w:tabs>
        <w:spacing w:before="60" w:after="40"/>
        <w:ind w:left="360"/>
      </w:pPr>
      <w:r>
        <w:rPr>
          <w:color w:val="222222"/>
          <w:sz w:val="23"/>
          <w:szCs w:val="23"/>
        </w:rPr>
        <w:t>E.</w:t>
      </w:r>
      <w:r>
        <w:rPr>
          <w:color w:val="222222"/>
          <w:sz w:val="23"/>
          <w:szCs w:val="23"/>
        </w:rPr>
        <w:tab/>
        <w:t>Live Systems, Sandboxed Systems, and Operational Risk</w:t>
      </w:r>
    </w:p>
    <w:p w14:paraId="5CC8A140" w14:textId="77777777" w:rsidR="0050278F" w:rsidRDefault="0050278F" w:rsidP="0050278F">
      <w:pPr>
        <w:tabs>
          <w:tab w:val="left" w:pos="840"/>
        </w:tabs>
        <w:spacing w:before="60" w:after="40"/>
        <w:ind w:left="360"/>
      </w:pPr>
      <w:r>
        <w:rPr>
          <w:color w:val="222222"/>
          <w:sz w:val="23"/>
          <w:szCs w:val="23"/>
        </w:rPr>
        <w:t>F.</w:t>
      </w:r>
      <w:r>
        <w:rPr>
          <w:color w:val="222222"/>
          <w:sz w:val="23"/>
          <w:szCs w:val="23"/>
        </w:rPr>
        <w:tab/>
        <w:t>Contract Management, Subcontractor Risk, and Flow-Down Liability</w:t>
      </w:r>
    </w:p>
    <w:p w14:paraId="17DF0C37" w14:textId="77777777" w:rsidR="0050278F" w:rsidRDefault="0050278F" w:rsidP="0050278F">
      <w:pPr>
        <w:tabs>
          <w:tab w:val="left" w:pos="1200"/>
        </w:tabs>
        <w:spacing w:before="60" w:after="40"/>
        <w:ind w:left="720"/>
      </w:pPr>
      <w:r>
        <w:rPr>
          <w:color w:val="222222"/>
          <w:sz w:val="22"/>
          <w:szCs w:val="22"/>
        </w:rPr>
        <w:t>1.</w:t>
      </w:r>
      <w:r>
        <w:rPr>
          <w:color w:val="222222"/>
          <w:sz w:val="22"/>
          <w:szCs w:val="22"/>
        </w:rPr>
        <w:tab/>
        <w:t>The Limits of Prime Contractor Responsibility</w:t>
      </w:r>
    </w:p>
    <w:p w14:paraId="62E45D0A" w14:textId="77777777" w:rsidR="0050278F" w:rsidRDefault="0050278F" w:rsidP="0050278F">
      <w:pPr>
        <w:tabs>
          <w:tab w:val="left" w:pos="1200"/>
        </w:tabs>
        <w:spacing w:before="60" w:after="40"/>
        <w:ind w:left="720"/>
      </w:pPr>
      <w:r>
        <w:rPr>
          <w:color w:val="222222"/>
          <w:sz w:val="22"/>
          <w:szCs w:val="22"/>
        </w:rPr>
        <w:t>2.</w:t>
      </w:r>
      <w:r>
        <w:rPr>
          <w:color w:val="222222"/>
          <w:sz w:val="22"/>
          <w:szCs w:val="22"/>
        </w:rPr>
        <w:tab/>
        <w:t>The Flow-Down Clause Approach to Direct Accountability</w:t>
      </w:r>
    </w:p>
    <w:p w14:paraId="6DD23846" w14:textId="77777777" w:rsidR="0050278F" w:rsidRDefault="0050278F" w:rsidP="0050278F">
      <w:pPr>
        <w:tabs>
          <w:tab w:val="left" w:pos="1200"/>
        </w:tabs>
        <w:spacing w:before="60" w:after="40"/>
        <w:ind w:left="720"/>
      </w:pPr>
      <w:r>
        <w:rPr>
          <w:color w:val="222222"/>
          <w:sz w:val="22"/>
          <w:szCs w:val="22"/>
        </w:rPr>
        <w:t>3.</w:t>
      </w:r>
      <w:r>
        <w:rPr>
          <w:color w:val="222222"/>
          <w:sz w:val="22"/>
          <w:szCs w:val="22"/>
        </w:rPr>
        <w:tab/>
        <w:t>Contract Management Infrastructure for Novel PoC Work</w:t>
      </w:r>
    </w:p>
    <w:p w14:paraId="34C5C7FF" w14:textId="77777777" w:rsidR="0050278F" w:rsidRDefault="0050278F" w:rsidP="0050278F">
      <w:pPr>
        <w:tabs>
          <w:tab w:val="left" w:pos="840"/>
        </w:tabs>
        <w:spacing w:before="60" w:after="40"/>
        <w:ind w:left="360"/>
      </w:pPr>
      <w:r>
        <w:rPr>
          <w:color w:val="222222"/>
          <w:sz w:val="23"/>
          <w:szCs w:val="23"/>
        </w:rPr>
        <w:t>G.</w:t>
      </w:r>
      <w:r>
        <w:rPr>
          <w:color w:val="222222"/>
          <w:sz w:val="23"/>
          <w:szCs w:val="23"/>
        </w:rPr>
        <w:tab/>
        <w:t>Government Consortia as Knowledge-Generation and Market-Shaping Instruments</w:t>
      </w:r>
    </w:p>
    <w:p w14:paraId="22965123" w14:textId="77777777" w:rsidR="0050278F" w:rsidRDefault="0050278F" w:rsidP="0050278F">
      <w:pPr>
        <w:tabs>
          <w:tab w:val="left" w:pos="1200"/>
        </w:tabs>
        <w:spacing w:before="60" w:after="40"/>
        <w:ind w:left="720"/>
      </w:pPr>
      <w:r>
        <w:rPr>
          <w:color w:val="222222"/>
          <w:sz w:val="22"/>
          <w:szCs w:val="22"/>
        </w:rPr>
        <w:t>1.</w:t>
      </w:r>
      <w:r>
        <w:rPr>
          <w:color w:val="222222"/>
          <w:sz w:val="22"/>
          <w:szCs w:val="22"/>
        </w:rPr>
        <w:tab/>
        <w:t>Risk Distribution and Shared Learning</w:t>
      </w:r>
    </w:p>
    <w:p w14:paraId="7BB37AD6" w14:textId="77777777" w:rsidR="0050278F" w:rsidRDefault="0050278F" w:rsidP="0050278F">
      <w:pPr>
        <w:tabs>
          <w:tab w:val="left" w:pos="1200"/>
        </w:tabs>
        <w:spacing w:before="60" w:after="40"/>
        <w:ind w:left="720"/>
      </w:pPr>
      <w:r>
        <w:rPr>
          <w:color w:val="222222"/>
          <w:sz w:val="22"/>
          <w:szCs w:val="22"/>
        </w:rPr>
        <w:t>2.</w:t>
      </w:r>
      <w:r>
        <w:rPr>
          <w:color w:val="222222"/>
          <w:sz w:val="22"/>
          <w:szCs w:val="22"/>
        </w:rPr>
        <w:tab/>
        <w:t>Market Power and Demand Aggregation</w:t>
      </w:r>
    </w:p>
    <w:p w14:paraId="2F7C5CC1" w14:textId="77777777" w:rsidR="0050278F" w:rsidRDefault="0050278F" w:rsidP="0050278F">
      <w:pPr>
        <w:tabs>
          <w:tab w:val="left" w:pos="1200"/>
        </w:tabs>
        <w:spacing w:before="60" w:after="40"/>
        <w:ind w:left="720"/>
      </w:pPr>
      <w:r>
        <w:rPr>
          <w:color w:val="222222"/>
          <w:sz w:val="22"/>
          <w:szCs w:val="22"/>
        </w:rPr>
        <w:t>3.</w:t>
      </w:r>
      <w:r>
        <w:rPr>
          <w:color w:val="222222"/>
          <w:sz w:val="22"/>
          <w:szCs w:val="22"/>
        </w:rPr>
        <w:tab/>
        <w:t>Standard-Setting Through Collective Action</w:t>
      </w:r>
    </w:p>
    <w:p w14:paraId="50FF1913" w14:textId="77777777" w:rsidR="0050278F" w:rsidRDefault="0050278F" w:rsidP="0050278F">
      <w:pPr>
        <w:tabs>
          <w:tab w:val="left" w:pos="1200"/>
        </w:tabs>
        <w:spacing w:before="60" w:after="40"/>
        <w:ind w:left="720"/>
      </w:pPr>
      <w:r>
        <w:rPr>
          <w:color w:val="222222"/>
          <w:sz w:val="22"/>
          <w:szCs w:val="22"/>
        </w:rPr>
        <w:t>4.</w:t>
      </w:r>
      <w:r>
        <w:rPr>
          <w:color w:val="222222"/>
          <w:sz w:val="22"/>
          <w:szCs w:val="22"/>
        </w:rPr>
        <w:tab/>
        <w:t>The Constitutional Dimension and the Cooperative Federalism Exception</w:t>
      </w:r>
    </w:p>
    <w:p w14:paraId="43A70D09" w14:textId="40781E8F" w:rsidR="00495A62" w:rsidRDefault="0050278F" w:rsidP="0050278F">
      <w:pPr>
        <w:spacing w:before="60" w:after="60"/>
        <w:ind w:left="1267" w:hanging="547"/>
      </w:pPr>
      <w:r>
        <w:rPr>
          <w:color w:val="222222"/>
          <w:sz w:val="22"/>
          <w:szCs w:val="22"/>
        </w:rPr>
        <w:t>5.</w:t>
      </w:r>
      <w:r>
        <w:rPr>
          <w:color w:val="222222"/>
          <w:sz w:val="22"/>
          <w:szCs w:val="22"/>
        </w:rPr>
        <w:t xml:space="preserve">     </w:t>
      </w:r>
      <w:r>
        <w:rPr>
          <w:color w:val="222222"/>
          <w:sz w:val="22"/>
          <w:szCs w:val="22"/>
        </w:rPr>
        <w:t xml:space="preserve">Consortia as Instruments of Constitutional </w:t>
      </w:r>
      <w:proofErr w:type="spellStart"/>
      <w:r>
        <w:rPr>
          <w:color w:val="222222"/>
          <w:sz w:val="22"/>
          <w:szCs w:val="22"/>
        </w:rPr>
        <w:t>Stewardship</w:t>
      </w:r>
      <w:r w:rsidR="00000000">
        <w:rPr>
          <w:sz w:val="22"/>
          <w:szCs w:val="22"/>
        </w:rPr>
        <w:t>PART</w:t>
      </w:r>
      <w:proofErr w:type="spellEnd"/>
      <w:r w:rsidR="00000000">
        <w:rPr>
          <w:sz w:val="22"/>
          <w:szCs w:val="22"/>
        </w:rPr>
        <w:t xml:space="preserve"> </w:t>
      </w:r>
      <w:proofErr w:type="gramStart"/>
      <w:r w:rsidR="00000000">
        <w:rPr>
          <w:sz w:val="22"/>
          <w:szCs w:val="22"/>
        </w:rPr>
        <w:t>II  The</w:t>
      </w:r>
      <w:proofErr w:type="gramEnd"/>
      <w:r w:rsidR="00000000">
        <w:rPr>
          <w:sz w:val="22"/>
          <w:szCs w:val="22"/>
        </w:rPr>
        <w:t xml:space="preserve"> Problem in Detail</w:t>
      </w:r>
    </w:p>
    <w:p w14:paraId="76B68C44" w14:textId="77777777" w:rsidR="0050278F" w:rsidRDefault="0050278F" w:rsidP="0050278F">
      <w:pPr>
        <w:tabs>
          <w:tab w:val="left" w:pos="480"/>
        </w:tabs>
        <w:spacing w:before="120" w:after="60"/>
      </w:pPr>
      <w:r>
        <w:rPr>
          <w:b/>
          <w:bCs/>
          <w:color w:val="2E4057"/>
        </w:rPr>
        <w:t>PART III</w:t>
      </w:r>
      <w:r>
        <w:rPr>
          <w:b/>
          <w:bCs/>
          <w:color w:val="2E4057"/>
        </w:rPr>
        <w:tab/>
        <w:t>Survey of Existing Frameworks</w:t>
      </w:r>
    </w:p>
    <w:p w14:paraId="542FFEBE" w14:textId="77777777" w:rsidR="0050278F" w:rsidRDefault="0050278F" w:rsidP="0050278F">
      <w:pPr>
        <w:tabs>
          <w:tab w:val="left" w:pos="840"/>
        </w:tabs>
        <w:spacing w:before="60" w:after="40"/>
        <w:ind w:left="360"/>
      </w:pPr>
      <w:r>
        <w:rPr>
          <w:color w:val="222222"/>
          <w:sz w:val="23"/>
          <w:szCs w:val="23"/>
        </w:rPr>
        <w:t>A.</w:t>
      </w:r>
      <w:r>
        <w:rPr>
          <w:color w:val="222222"/>
          <w:sz w:val="23"/>
          <w:szCs w:val="23"/>
        </w:rPr>
        <w:tab/>
        <w:t>Maryland COMAR 21.05.16: State-Level PoC Authorization</w:t>
      </w:r>
    </w:p>
    <w:p w14:paraId="504CAA8B" w14:textId="77777777" w:rsidR="0050278F" w:rsidRDefault="0050278F" w:rsidP="0050278F">
      <w:pPr>
        <w:tabs>
          <w:tab w:val="left" w:pos="840"/>
        </w:tabs>
        <w:spacing w:before="60" w:after="40"/>
        <w:ind w:left="810" w:hanging="450"/>
      </w:pPr>
      <w:r>
        <w:rPr>
          <w:color w:val="222222"/>
          <w:sz w:val="23"/>
          <w:szCs w:val="23"/>
        </w:rPr>
        <w:t>B.</w:t>
      </w:r>
      <w:r>
        <w:rPr>
          <w:color w:val="222222"/>
          <w:sz w:val="23"/>
          <w:szCs w:val="23"/>
        </w:rPr>
        <w:tab/>
        <w:t>European Union Pre-Commercial Procurement and Public Procurement of Innovation</w:t>
      </w:r>
    </w:p>
    <w:p w14:paraId="28378970" w14:textId="77777777" w:rsidR="0050278F" w:rsidRDefault="0050278F" w:rsidP="0050278F">
      <w:pPr>
        <w:tabs>
          <w:tab w:val="left" w:pos="840"/>
        </w:tabs>
        <w:spacing w:before="60" w:after="40"/>
        <w:ind w:left="360"/>
      </w:pPr>
      <w:r>
        <w:rPr>
          <w:color w:val="222222"/>
          <w:sz w:val="23"/>
          <w:szCs w:val="23"/>
        </w:rPr>
        <w:t>C.</w:t>
      </w:r>
      <w:r>
        <w:rPr>
          <w:color w:val="222222"/>
          <w:sz w:val="23"/>
          <w:szCs w:val="23"/>
        </w:rPr>
        <w:tab/>
        <w:t>Federal Small Business Innovation Research and Technology Transfer Programs</w:t>
      </w:r>
    </w:p>
    <w:p w14:paraId="75A05996" w14:textId="77777777" w:rsidR="0050278F" w:rsidRDefault="0050278F" w:rsidP="0050278F">
      <w:pPr>
        <w:tabs>
          <w:tab w:val="left" w:pos="840"/>
        </w:tabs>
        <w:spacing w:before="60" w:after="40"/>
        <w:ind w:left="360"/>
      </w:pPr>
      <w:r>
        <w:rPr>
          <w:color w:val="222222"/>
          <w:sz w:val="23"/>
          <w:szCs w:val="23"/>
        </w:rPr>
        <w:t>D.</w:t>
      </w:r>
      <w:r>
        <w:rPr>
          <w:color w:val="222222"/>
          <w:sz w:val="23"/>
          <w:szCs w:val="23"/>
        </w:rPr>
        <w:tab/>
        <w:t>DHS Procurement Innovation Lab</w:t>
      </w:r>
    </w:p>
    <w:p w14:paraId="2399CFC5" w14:textId="77777777" w:rsidR="0050278F" w:rsidRDefault="0050278F" w:rsidP="0050278F">
      <w:pPr>
        <w:tabs>
          <w:tab w:val="left" w:pos="840"/>
        </w:tabs>
        <w:spacing w:before="60" w:after="40"/>
        <w:ind w:left="360"/>
      </w:pPr>
      <w:r>
        <w:rPr>
          <w:color w:val="222222"/>
          <w:sz w:val="23"/>
          <w:szCs w:val="23"/>
        </w:rPr>
        <w:t>E.</w:t>
      </w:r>
      <w:r>
        <w:rPr>
          <w:color w:val="222222"/>
          <w:sz w:val="23"/>
          <w:szCs w:val="23"/>
        </w:rPr>
        <w:tab/>
        <w:t>NASPO Cooperative Purchasing Models</w:t>
      </w:r>
    </w:p>
    <w:p w14:paraId="5EC49134" w14:textId="77777777" w:rsidR="0050278F" w:rsidRDefault="0050278F" w:rsidP="0050278F">
      <w:pPr>
        <w:tabs>
          <w:tab w:val="left" w:pos="840"/>
        </w:tabs>
        <w:spacing w:before="60" w:after="40"/>
        <w:ind w:left="360"/>
      </w:pPr>
      <w:r>
        <w:rPr>
          <w:color w:val="222222"/>
          <w:sz w:val="23"/>
          <w:szCs w:val="23"/>
        </w:rPr>
        <w:t>F.</w:t>
      </w:r>
      <w:r>
        <w:rPr>
          <w:color w:val="222222"/>
          <w:sz w:val="23"/>
          <w:szCs w:val="23"/>
        </w:rPr>
        <w:tab/>
        <w:t>Challenge-Based and Modular Procurement Programs</w:t>
      </w:r>
    </w:p>
    <w:p w14:paraId="5F53F3F9" w14:textId="752A3782" w:rsidR="0050278F" w:rsidRDefault="0050278F" w:rsidP="0050278F">
      <w:pPr>
        <w:tabs>
          <w:tab w:val="left" w:pos="840"/>
        </w:tabs>
        <w:spacing w:before="60" w:after="40"/>
        <w:ind w:left="360"/>
      </w:pPr>
      <w:r>
        <w:rPr>
          <w:color w:val="222222"/>
          <w:sz w:val="23"/>
          <w:szCs w:val="23"/>
        </w:rPr>
        <w:t>G.</w:t>
      </w:r>
      <w:r>
        <w:rPr>
          <w:color w:val="222222"/>
          <w:sz w:val="23"/>
          <w:szCs w:val="23"/>
        </w:rPr>
        <w:tab/>
      </w:r>
      <w:proofErr w:type="spellStart"/>
      <w:r>
        <w:rPr>
          <w:color w:val="222222"/>
          <w:sz w:val="23"/>
          <w:szCs w:val="23"/>
        </w:rPr>
        <w:t>StateRAMP</w:t>
      </w:r>
      <w:proofErr w:type="spellEnd"/>
      <w:r>
        <w:rPr>
          <w:color w:val="222222"/>
          <w:sz w:val="23"/>
          <w:szCs w:val="23"/>
        </w:rPr>
        <w:t xml:space="preserve"> and the Subcontractor Prequalification Analogy</w:t>
      </w:r>
    </w:p>
    <w:p w14:paraId="7B47FBFB" w14:textId="77777777" w:rsidR="0050278F" w:rsidRDefault="0050278F" w:rsidP="0050278F">
      <w:pPr>
        <w:tabs>
          <w:tab w:val="left" w:pos="840"/>
        </w:tabs>
        <w:spacing w:before="60" w:after="40"/>
        <w:ind w:left="360"/>
      </w:pPr>
    </w:p>
    <w:p w14:paraId="093A3210" w14:textId="77777777" w:rsidR="0050278F" w:rsidRDefault="0050278F" w:rsidP="0050278F">
      <w:pPr>
        <w:tabs>
          <w:tab w:val="left" w:pos="480"/>
        </w:tabs>
        <w:spacing w:before="60" w:after="60"/>
      </w:pPr>
      <w:r>
        <w:rPr>
          <w:b/>
          <w:bCs/>
          <w:color w:val="2E4057"/>
        </w:rPr>
        <w:t>PART IV</w:t>
      </w:r>
      <w:r>
        <w:rPr>
          <w:b/>
          <w:bCs/>
          <w:color w:val="2E4057"/>
        </w:rPr>
        <w:tab/>
        <w:t>Proposed Article 3B — Statutory Language and Official Comments</w:t>
      </w:r>
    </w:p>
    <w:p w14:paraId="189F416B" w14:textId="77777777" w:rsidR="0050278F" w:rsidRDefault="0050278F" w:rsidP="0050278F">
      <w:pPr>
        <w:tabs>
          <w:tab w:val="left" w:pos="840"/>
        </w:tabs>
        <w:spacing w:before="60" w:after="40"/>
        <w:ind w:left="360"/>
      </w:pPr>
      <w:r>
        <w:rPr>
          <w:color w:val="222222"/>
          <w:sz w:val="23"/>
          <w:szCs w:val="23"/>
        </w:rPr>
        <w:tab/>
        <w:t>Prefatory Note on Drafting Conventions</w:t>
      </w:r>
    </w:p>
    <w:p w14:paraId="309D62CA" w14:textId="77777777" w:rsidR="0050278F" w:rsidRDefault="0050278F" w:rsidP="0050278F">
      <w:pPr>
        <w:spacing w:before="40" w:after="20"/>
      </w:pPr>
    </w:p>
    <w:p w14:paraId="20E3ACB6" w14:textId="77777777" w:rsidR="0050278F" w:rsidRDefault="0050278F" w:rsidP="0050278F">
      <w:pPr>
        <w:spacing w:before="80" w:after="40"/>
        <w:ind w:left="360"/>
      </w:pPr>
      <w:r>
        <w:rPr>
          <w:b/>
          <w:bCs/>
          <w:color w:val="2E4057"/>
          <w:sz w:val="22"/>
          <w:szCs w:val="22"/>
        </w:rPr>
        <w:t>Article 3B Sections:</w:t>
      </w:r>
    </w:p>
    <w:p w14:paraId="596586FA" w14:textId="77777777" w:rsidR="0050278F" w:rsidRDefault="0050278F" w:rsidP="0050278F">
      <w:pPr>
        <w:tabs>
          <w:tab w:val="left" w:pos="840"/>
        </w:tabs>
        <w:spacing w:before="60" w:after="40"/>
        <w:ind w:left="360"/>
      </w:pPr>
      <w:r>
        <w:rPr>
          <w:color w:val="222222"/>
          <w:sz w:val="23"/>
          <w:szCs w:val="23"/>
        </w:rPr>
        <w:t>§ 3B-101</w:t>
      </w:r>
      <w:r>
        <w:rPr>
          <w:color w:val="222222"/>
          <w:sz w:val="23"/>
          <w:szCs w:val="23"/>
        </w:rPr>
        <w:tab/>
        <w:t>Scope, Purpose, and Definitions</w:t>
      </w:r>
    </w:p>
    <w:p w14:paraId="26F7FBE4" w14:textId="77777777" w:rsidR="0050278F" w:rsidRDefault="0050278F" w:rsidP="0050278F">
      <w:pPr>
        <w:tabs>
          <w:tab w:val="left" w:pos="1200"/>
        </w:tabs>
        <w:spacing w:before="60" w:after="40"/>
        <w:ind w:left="720"/>
      </w:pPr>
      <w:r>
        <w:rPr>
          <w:color w:val="222222"/>
          <w:sz w:val="22"/>
          <w:szCs w:val="22"/>
        </w:rPr>
        <w:tab/>
        <w:t>Defined Terms: Genuinely Novel, PoC Procurement, PoC Artifact, MVP,</w:t>
      </w:r>
    </w:p>
    <w:p w14:paraId="12870FDB" w14:textId="77777777" w:rsidR="0050278F" w:rsidRDefault="0050278F" w:rsidP="0050278F">
      <w:pPr>
        <w:tabs>
          <w:tab w:val="left" w:pos="1200"/>
        </w:tabs>
        <w:spacing w:before="60" w:after="40"/>
        <w:ind w:left="720"/>
      </w:pPr>
      <w:r>
        <w:rPr>
          <w:color w:val="222222"/>
          <w:sz w:val="22"/>
          <w:szCs w:val="22"/>
        </w:rPr>
        <w:tab/>
        <w:t>Procuring Government, Live System, Sandboxed Environment,</w:t>
      </w:r>
    </w:p>
    <w:p w14:paraId="6277F69C" w14:textId="77777777" w:rsidR="0050278F" w:rsidRDefault="0050278F" w:rsidP="0050278F">
      <w:pPr>
        <w:tabs>
          <w:tab w:val="left" w:pos="1200"/>
        </w:tabs>
        <w:spacing w:before="60" w:after="40"/>
        <w:ind w:left="720"/>
      </w:pPr>
      <w:r>
        <w:rPr>
          <w:color w:val="222222"/>
          <w:sz w:val="22"/>
          <w:szCs w:val="22"/>
        </w:rPr>
        <w:tab/>
        <w:t>Citizen Data, Foreground IP, Background IP</w:t>
      </w:r>
    </w:p>
    <w:p w14:paraId="2F3CA566" w14:textId="77777777" w:rsidR="0050278F" w:rsidRDefault="0050278F" w:rsidP="0050278F">
      <w:pPr>
        <w:tabs>
          <w:tab w:val="left" w:pos="1200"/>
        </w:tabs>
        <w:spacing w:before="60" w:after="40"/>
        <w:ind w:left="720"/>
      </w:pPr>
      <w:r>
        <w:rPr>
          <w:color w:val="222222"/>
          <w:sz w:val="22"/>
          <w:szCs w:val="22"/>
        </w:rPr>
        <w:tab/>
        <w:t>Authorization Findings and Citizen Impact Assessment</w:t>
      </w:r>
    </w:p>
    <w:p w14:paraId="44A21505" w14:textId="77777777" w:rsidR="0050278F" w:rsidRDefault="0050278F" w:rsidP="0050278F">
      <w:pPr>
        <w:tabs>
          <w:tab w:val="left" w:pos="840"/>
        </w:tabs>
        <w:spacing w:before="60" w:after="40"/>
        <w:ind w:left="360"/>
      </w:pPr>
      <w:r>
        <w:rPr>
          <w:color w:val="222222"/>
          <w:sz w:val="23"/>
          <w:szCs w:val="23"/>
        </w:rPr>
        <w:t>§ 3B-202</w:t>
      </w:r>
      <w:r>
        <w:rPr>
          <w:color w:val="222222"/>
          <w:sz w:val="23"/>
          <w:szCs w:val="23"/>
        </w:rPr>
        <w:tab/>
        <w:t>Specifications and Pre-Solicitation Market Consultation</w:t>
      </w:r>
    </w:p>
    <w:p w14:paraId="190D27ED" w14:textId="77777777" w:rsidR="0050278F" w:rsidRDefault="0050278F" w:rsidP="0050278F">
      <w:pPr>
        <w:tabs>
          <w:tab w:val="left" w:pos="1200"/>
        </w:tabs>
        <w:spacing w:before="60" w:after="40"/>
        <w:ind w:left="720"/>
      </w:pPr>
      <w:r>
        <w:rPr>
          <w:color w:val="222222"/>
          <w:sz w:val="22"/>
          <w:szCs w:val="22"/>
        </w:rPr>
        <w:tab/>
        <w:t xml:space="preserve">Outcome-Based Specifications; Pre-Solicitation Open Market </w:t>
      </w:r>
      <w:proofErr w:type="gramStart"/>
      <w:r>
        <w:rPr>
          <w:color w:val="222222"/>
          <w:sz w:val="22"/>
          <w:szCs w:val="22"/>
        </w:rPr>
        <w:t>Consultation;</w:t>
      </w:r>
      <w:proofErr w:type="gramEnd"/>
    </w:p>
    <w:p w14:paraId="28C17109" w14:textId="77777777" w:rsidR="0050278F" w:rsidRDefault="0050278F" w:rsidP="0050278F">
      <w:pPr>
        <w:tabs>
          <w:tab w:val="left" w:pos="1200"/>
        </w:tabs>
        <w:spacing w:before="60" w:after="40"/>
        <w:ind w:left="720"/>
      </w:pPr>
      <w:r>
        <w:rPr>
          <w:color w:val="222222"/>
          <w:sz w:val="22"/>
          <w:szCs w:val="22"/>
        </w:rPr>
        <w:tab/>
        <w:t>Market Consultation Summary; Specification Compliance Standard</w:t>
      </w:r>
    </w:p>
    <w:p w14:paraId="201A3A1E" w14:textId="77777777" w:rsidR="0050278F" w:rsidRDefault="0050278F" w:rsidP="0050278F">
      <w:pPr>
        <w:tabs>
          <w:tab w:val="left" w:pos="840"/>
        </w:tabs>
        <w:spacing w:before="60" w:after="40"/>
        <w:ind w:left="360"/>
      </w:pPr>
      <w:r>
        <w:rPr>
          <w:color w:val="222222"/>
          <w:sz w:val="23"/>
          <w:szCs w:val="23"/>
        </w:rPr>
        <w:t>§ 3B-203</w:t>
      </w:r>
      <w:r>
        <w:rPr>
          <w:color w:val="222222"/>
          <w:sz w:val="23"/>
          <w:szCs w:val="23"/>
        </w:rPr>
        <w:tab/>
        <w:t>Phased Process, Phase Gate Reviews, and Payments</w:t>
      </w:r>
    </w:p>
    <w:p w14:paraId="29344E31" w14:textId="77777777" w:rsidR="0050278F" w:rsidRDefault="0050278F" w:rsidP="0050278F">
      <w:pPr>
        <w:tabs>
          <w:tab w:val="left" w:pos="1200"/>
        </w:tabs>
        <w:spacing w:before="60" w:after="40"/>
        <w:ind w:left="720"/>
      </w:pPr>
      <w:r>
        <w:rPr>
          <w:color w:val="222222"/>
          <w:sz w:val="22"/>
          <w:szCs w:val="22"/>
        </w:rPr>
        <w:tab/>
        <w:t>Phase 1 Solution Design (up to 10 vendors; sandboxed; 20% payment)</w:t>
      </w:r>
    </w:p>
    <w:p w14:paraId="56A8779B" w14:textId="77777777" w:rsidR="0050278F" w:rsidRDefault="0050278F" w:rsidP="0050278F">
      <w:pPr>
        <w:tabs>
          <w:tab w:val="left" w:pos="1200"/>
        </w:tabs>
        <w:spacing w:before="60" w:after="40"/>
        <w:ind w:left="720"/>
      </w:pPr>
      <w:r>
        <w:rPr>
          <w:color w:val="222222"/>
          <w:sz w:val="22"/>
          <w:szCs w:val="22"/>
        </w:rPr>
        <w:tab/>
        <w:t>Phase 2 Prototyping (up to 5 vendors; sandboxed default; 30% payment)</w:t>
      </w:r>
    </w:p>
    <w:p w14:paraId="18014BEE" w14:textId="77777777" w:rsidR="0050278F" w:rsidRDefault="0050278F" w:rsidP="0050278F">
      <w:pPr>
        <w:tabs>
          <w:tab w:val="left" w:pos="1200"/>
        </w:tabs>
        <w:spacing w:before="60" w:after="40"/>
        <w:ind w:left="1170"/>
      </w:pPr>
      <w:r>
        <w:rPr>
          <w:color w:val="222222"/>
          <w:sz w:val="22"/>
          <w:szCs w:val="22"/>
        </w:rPr>
        <w:tab/>
        <w:t>Phase 3 Piloting and MVP Validation (2-3 vendors; live system conditions; 50% payment)</w:t>
      </w:r>
    </w:p>
    <w:p w14:paraId="04CA9C0B" w14:textId="77777777" w:rsidR="0050278F" w:rsidRDefault="0050278F" w:rsidP="0050278F">
      <w:pPr>
        <w:tabs>
          <w:tab w:val="left" w:pos="1200"/>
        </w:tabs>
        <w:spacing w:before="60" w:after="40"/>
        <w:ind w:left="720"/>
      </w:pPr>
      <w:r>
        <w:rPr>
          <w:color w:val="222222"/>
          <w:sz w:val="22"/>
          <w:szCs w:val="22"/>
        </w:rPr>
        <w:tab/>
        <w:t>Phase Gate Reviews; Milestone Escrow</w:t>
      </w:r>
    </w:p>
    <w:p w14:paraId="6BD0F669" w14:textId="77777777" w:rsidR="0050278F" w:rsidRDefault="0050278F" w:rsidP="0050278F">
      <w:pPr>
        <w:tabs>
          <w:tab w:val="left" w:pos="840"/>
        </w:tabs>
        <w:spacing w:before="60" w:after="40"/>
        <w:ind w:left="360"/>
      </w:pPr>
      <w:r>
        <w:rPr>
          <w:color w:val="222222"/>
          <w:sz w:val="23"/>
          <w:szCs w:val="23"/>
        </w:rPr>
        <w:t>§ 3B-205</w:t>
      </w:r>
      <w:r>
        <w:rPr>
          <w:color w:val="222222"/>
          <w:sz w:val="23"/>
          <w:szCs w:val="23"/>
        </w:rPr>
        <w:tab/>
        <w:t>Consortium Procurement</w:t>
      </w:r>
    </w:p>
    <w:p w14:paraId="4A89FEA0" w14:textId="77777777" w:rsidR="0050278F" w:rsidRDefault="0050278F" w:rsidP="0050278F">
      <w:pPr>
        <w:tabs>
          <w:tab w:val="left" w:pos="1200"/>
        </w:tabs>
        <w:spacing w:before="60" w:after="40"/>
        <w:ind w:left="720"/>
      </w:pPr>
      <w:r>
        <w:rPr>
          <w:color w:val="222222"/>
          <w:sz w:val="22"/>
          <w:szCs w:val="22"/>
        </w:rPr>
        <w:tab/>
        <w:t xml:space="preserve">MOU Requirements; Lead Buyer Model; Default Decision </w:t>
      </w:r>
      <w:proofErr w:type="gramStart"/>
      <w:r>
        <w:rPr>
          <w:color w:val="222222"/>
          <w:sz w:val="22"/>
          <w:szCs w:val="22"/>
        </w:rPr>
        <w:t>Rule;</w:t>
      </w:r>
      <w:proofErr w:type="gramEnd"/>
    </w:p>
    <w:p w14:paraId="2AFA09EE" w14:textId="77777777" w:rsidR="0050278F" w:rsidRDefault="0050278F" w:rsidP="0050278F">
      <w:pPr>
        <w:tabs>
          <w:tab w:val="left" w:pos="1200"/>
        </w:tabs>
        <w:spacing w:before="60" w:after="40"/>
        <w:ind w:left="720"/>
      </w:pPr>
      <w:r>
        <w:rPr>
          <w:color w:val="222222"/>
          <w:sz w:val="22"/>
          <w:szCs w:val="22"/>
        </w:rPr>
        <w:tab/>
        <w:t>Liability Allocation; Opt-In Architecture</w:t>
      </w:r>
    </w:p>
    <w:p w14:paraId="555BC614" w14:textId="77777777" w:rsidR="0050278F" w:rsidRDefault="0050278F" w:rsidP="0050278F">
      <w:pPr>
        <w:tabs>
          <w:tab w:val="left" w:pos="840"/>
        </w:tabs>
        <w:spacing w:before="60" w:after="40"/>
        <w:ind w:left="360"/>
      </w:pPr>
      <w:r>
        <w:rPr>
          <w:color w:val="222222"/>
          <w:sz w:val="23"/>
          <w:szCs w:val="23"/>
        </w:rPr>
        <w:t>§ 3B-206</w:t>
      </w:r>
      <w:r>
        <w:rPr>
          <w:color w:val="222222"/>
          <w:sz w:val="23"/>
          <w:szCs w:val="23"/>
        </w:rPr>
        <w:tab/>
        <w:t>Intellectual Property</w:t>
      </w:r>
    </w:p>
    <w:p w14:paraId="3CCAC635" w14:textId="77777777" w:rsidR="0050278F" w:rsidRDefault="0050278F" w:rsidP="0050278F">
      <w:pPr>
        <w:tabs>
          <w:tab w:val="left" w:pos="1200"/>
        </w:tabs>
        <w:spacing w:before="60" w:after="40"/>
        <w:ind w:left="720"/>
      </w:pPr>
      <w:r>
        <w:rPr>
          <w:color w:val="222222"/>
          <w:sz w:val="22"/>
          <w:szCs w:val="22"/>
        </w:rPr>
        <w:tab/>
        <w:t xml:space="preserve">Vendor Retains Foreground IP; Government Non-Exclusive </w:t>
      </w:r>
      <w:proofErr w:type="gramStart"/>
      <w:r>
        <w:rPr>
          <w:color w:val="222222"/>
          <w:sz w:val="22"/>
          <w:szCs w:val="22"/>
        </w:rPr>
        <w:t>License;</w:t>
      </w:r>
      <w:proofErr w:type="gramEnd"/>
    </w:p>
    <w:p w14:paraId="4A22AA08" w14:textId="77777777" w:rsidR="0050278F" w:rsidRDefault="0050278F" w:rsidP="0050278F">
      <w:pPr>
        <w:tabs>
          <w:tab w:val="left" w:pos="1200"/>
        </w:tabs>
        <w:spacing w:before="60" w:after="40"/>
        <w:ind w:left="720"/>
      </w:pPr>
      <w:r>
        <w:rPr>
          <w:color w:val="222222"/>
          <w:sz w:val="22"/>
          <w:szCs w:val="22"/>
        </w:rPr>
        <w:tab/>
        <w:t xml:space="preserve">Citizen Data Carve-Out (non-negotiable); Interoperability </w:t>
      </w:r>
      <w:proofErr w:type="gramStart"/>
      <w:r>
        <w:rPr>
          <w:color w:val="222222"/>
          <w:sz w:val="22"/>
          <w:szCs w:val="22"/>
        </w:rPr>
        <w:t>Requirement;</w:t>
      </w:r>
      <w:proofErr w:type="gramEnd"/>
    </w:p>
    <w:p w14:paraId="2EE1D963" w14:textId="77777777" w:rsidR="0050278F" w:rsidRDefault="0050278F" w:rsidP="0050278F">
      <w:pPr>
        <w:tabs>
          <w:tab w:val="left" w:pos="1200"/>
        </w:tabs>
        <w:spacing w:before="60" w:after="40"/>
        <w:ind w:left="720"/>
      </w:pPr>
      <w:r>
        <w:rPr>
          <w:color w:val="222222"/>
          <w:sz w:val="22"/>
          <w:szCs w:val="22"/>
        </w:rPr>
        <w:tab/>
        <w:t>Background IP Protection; Safe Harbor Modification Framework</w:t>
      </w:r>
    </w:p>
    <w:p w14:paraId="295D74B2" w14:textId="77777777" w:rsidR="0050278F" w:rsidRDefault="0050278F" w:rsidP="0050278F">
      <w:pPr>
        <w:tabs>
          <w:tab w:val="left" w:pos="840"/>
        </w:tabs>
        <w:spacing w:before="60" w:after="40"/>
        <w:ind w:left="360"/>
      </w:pPr>
      <w:r>
        <w:rPr>
          <w:color w:val="222222"/>
          <w:sz w:val="23"/>
          <w:szCs w:val="23"/>
        </w:rPr>
        <w:t>§ 3B-207</w:t>
      </w:r>
      <w:r>
        <w:rPr>
          <w:color w:val="222222"/>
          <w:sz w:val="23"/>
          <w:szCs w:val="23"/>
        </w:rPr>
        <w:tab/>
        <w:t>Subcontractor Standards and Flow-Down Clauses</w:t>
      </w:r>
    </w:p>
    <w:p w14:paraId="0152A051" w14:textId="77777777" w:rsidR="0050278F" w:rsidRDefault="0050278F" w:rsidP="0050278F">
      <w:pPr>
        <w:tabs>
          <w:tab w:val="left" w:pos="1200"/>
        </w:tabs>
        <w:spacing w:before="60" w:after="40"/>
        <w:ind w:left="720"/>
      </w:pPr>
      <w:r>
        <w:rPr>
          <w:color w:val="222222"/>
          <w:sz w:val="22"/>
          <w:szCs w:val="22"/>
        </w:rPr>
        <w:tab/>
        <w:t>Core Technical Work Defined; Three Categories of Direct Government Obligation:</w:t>
      </w:r>
    </w:p>
    <w:p w14:paraId="59DCFA1F" w14:textId="77777777" w:rsidR="0050278F" w:rsidRDefault="0050278F" w:rsidP="0050278F">
      <w:pPr>
        <w:tabs>
          <w:tab w:val="left" w:pos="1200"/>
        </w:tabs>
        <w:spacing w:before="60" w:after="40"/>
        <w:ind w:left="720"/>
      </w:pPr>
      <w:r>
        <w:rPr>
          <w:color w:val="222222"/>
          <w:sz w:val="22"/>
          <w:szCs w:val="22"/>
        </w:rPr>
        <w:tab/>
        <w:t xml:space="preserve">(1) Data Protection and Security; (2) Material Breach and Gross </w:t>
      </w:r>
      <w:proofErr w:type="gramStart"/>
      <w:r>
        <w:rPr>
          <w:color w:val="222222"/>
          <w:sz w:val="22"/>
          <w:szCs w:val="22"/>
        </w:rPr>
        <w:t>Negligence;</w:t>
      </w:r>
      <w:proofErr w:type="gramEnd"/>
    </w:p>
    <w:p w14:paraId="0D746809" w14:textId="77777777" w:rsidR="0050278F" w:rsidRDefault="0050278F" w:rsidP="0050278F">
      <w:pPr>
        <w:tabs>
          <w:tab w:val="left" w:pos="1200"/>
        </w:tabs>
        <w:spacing w:before="60" w:after="40"/>
        <w:ind w:left="720"/>
      </w:pPr>
      <w:r>
        <w:rPr>
          <w:color w:val="222222"/>
          <w:sz w:val="22"/>
          <w:szCs w:val="22"/>
        </w:rPr>
        <w:tab/>
        <w:t xml:space="preserve">(3) Material Misrepresentation; Third-Party Beneficiary </w:t>
      </w:r>
      <w:proofErr w:type="gramStart"/>
      <w:r>
        <w:rPr>
          <w:color w:val="222222"/>
          <w:sz w:val="22"/>
          <w:szCs w:val="22"/>
        </w:rPr>
        <w:t>Structure;</w:t>
      </w:r>
      <w:proofErr w:type="gramEnd"/>
    </w:p>
    <w:p w14:paraId="45C7C802" w14:textId="77777777" w:rsidR="0050278F" w:rsidRDefault="0050278F" w:rsidP="0050278F">
      <w:pPr>
        <w:tabs>
          <w:tab w:val="left" w:pos="1200"/>
        </w:tabs>
        <w:spacing w:before="60" w:after="40"/>
        <w:ind w:left="720"/>
      </w:pPr>
      <w:r>
        <w:rPr>
          <w:color w:val="222222"/>
          <w:sz w:val="22"/>
          <w:szCs w:val="22"/>
        </w:rPr>
        <w:tab/>
        <w:t>Prime Contractor Obligations Unaffected; Subcontractor Prequalification</w:t>
      </w:r>
    </w:p>
    <w:p w14:paraId="1C50CB0C" w14:textId="77777777" w:rsidR="0050278F" w:rsidRDefault="0050278F" w:rsidP="0050278F">
      <w:pPr>
        <w:tabs>
          <w:tab w:val="left" w:pos="840"/>
        </w:tabs>
        <w:spacing w:before="60" w:after="40"/>
        <w:ind w:left="360"/>
      </w:pPr>
      <w:r>
        <w:rPr>
          <w:color w:val="222222"/>
          <w:sz w:val="23"/>
          <w:szCs w:val="23"/>
        </w:rPr>
        <w:t>§ 3B-208</w:t>
      </w:r>
      <w:r>
        <w:rPr>
          <w:color w:val="222222"/>
          <w:sz w:val="23"/>
          <w:szCs w:val="23"/>
        </w:rPr>
        <w:tab/>
        <w:t>Independent Technical Monitor</w:t>
      </w:r>
    </w:p>
    <w:p w14:paraId="628A486D" w14:textId="77777777" w:rsidR="0050278F" w:rsidRDefault="0050278F" w:rsidP="0050278F">
      <w:pPr>
        <w:tabs>
          <w:tab w:val="left" w:pos="1200"/>
        </w:tabs>
        <w:spacing w:before="60" w:after="40"/>
        <w:ind w:left="720"/>
      </w:pPr>
      <w:r>
        <w:rPr>
          <w:color w:val="222222"/>
          <w:sz w:val="22"/>
          <w:szCs w:val="22"/>
        </w:rPr>
        <w:tab/>
        <w:t xml:space="preserve">Designation Requirements; Qualifications; Role and </w:t>
      </w:r>
      <w:proofErr w:type="gramStart"/>
      <w:r>
        <w:rPr>
          <w:color w:val="222222"/>
          <w:sz w:val="22"/>
          <w:szCs w:val="22"/>
        </w:rPr>
        <w:t>Authority;</w:t>
      </w:r>
      <w:proofErr w:type="gramEnd"/>
    </w:p>
    <w:p w14:paraId="6E0958DC" w14:textId="77777777" w:rsidR="0050278F" w:rsidRDefault="0050278F" w:rsidP="0050278F">
      <w:pPr>
        <w:tabs>
          <w:tab w:val="left" w:pos="1200"/>
        </w:tabs>
        <w:spacing w:before="60" w:after="40"/>
        <w:ind w:left="720"/>
      </w:pPr>
      <w:r>
        <w:rPr>
          <w:color w:val="222222"/>
          <w:sz w:val="22"/>
          <w:szCs w:val="22"/>
        </w:rPr>
        <w:tab/>
        <w:t>Monitor Assessments in the Administrative Record</w:t>
      </w:r>
    </w:p>
    <w:p w14:paraId="77A2D2E6" w14:textId="77777777" w:rsidR="0050278F" w:rsidRDefault="0050278F" w:rsidP="0050278F">
      <w:pPr>
        <w:tabs>
          <w:tab w:val="left" w:pos="840"/>
        </w:tabs>
        <w:spacing w:before="60" w:after="40"/>
        <w:ind w:left="360"/>
      </w:pPr>
      <w:r>
        <w:rPr>
          <w:color w:val="222222"/>
          <w:sz w:val="23"/>
          <w:szCs w:val="23"/>
        </w:rPr>
        <w:t>§ 3B-308</w:t>
      </w:r>
      <w:r>
        <w:rPr>
          <w:color w:val="222222"/>
          <w:sz w:val="23"/>
          <w:szCs w:val="23"/>
        </w:rPr>
        <w:tab/>
        <w:t>Safeguards, Value Limitations, Transparency, and Reporting</w:t>
      </w:r>
    </w:p>
    <w:p w14:paraId="3C81BFCF" w14:textId="77777777" w:rsidR="0050278F" w:rsidRDefault="0050278F" w:rsidP="0050278F">
      <w:pPr>
        <w:tabs>
          <w:tab w:val="left" w:pos="1200"/>
        </w:tabs>
        <w:spacing w:before="60" w:after="40"/>
        <w:ind w:left="720"/>
      </w:pPr>
      <w:r>
        <w:rPr>
          <w:color w:val="222222"/>
          <w:sz w:val="22"/>
          <w:szCs w:val="22"/>
        </w:rPr>
        <w:tab/>
        <w:t xml:space="preserve">Value Limitation (10% / $5M cap; waiver provision); Public </w:t>
      </w:r>
      <w:proofErr w:type="gramStart"/>
      <w:r>
        <w:rPr>
          <w:color w:val="222222"/>
          <w:sz w:val="22"/>
          <w:szCs w:val="22"/>
        </w:rPr>
        <w:t>Notices;</w:t>
      </w:r>
      <w:proofErr w:type="gramEnd"/>
    </w:p>
    <w:p w14:paraId="58A84496" w14:textId="77777777" w:rsidR="0050278F" w:rsidRDefault="0050278F" w:rsidP="0050278F">
      <w:pPr>
        <w:tabs>
          <w:tab w:val="left" w:pos="1200"/>
        </w:tabs>
        <w:spacing w:before="60" w:after="40"/>
        <w:ind w:left="720"/>
      </w:pPr>
      <w:r>
        <w:rPr>
          <w:color w:val="222222"/>
          <w:sz w:val="22"/>
          <w:szCs w:val="22"/>
        </w:rPr>
        <w:tab/>
        <w:t>Protest Rights (10-day filing windows); Annual Audit; Post-PoC Report</w:t>
      </w:r>
    </w:p>
    <w:p w14:paraId="4A5C06E8" w14:textId="77777777" w:rsidR="0050278F" w:rsidRDefault="0050278F" w:rsidP="0050278F">
      <w:pPr>
        <w:tabs>
          <w:tab w:val="left" w:pos="840"/>
        </w:tabs>
        <w:spacing w:before="60" w:after="40"/>
        <w:ind w:left="360"/>
      </w:pPr>
      <w:r>
        <w:rPr>
          <w:color w:val="222222"/>
          <w:sz w:val="23"/>
          <w:szCs w:val="23"/>
        </w:rPr>
        <w:t>§ 3B-309</w:t>
      </w:r>
      <w:r>
        <w:rPr>
          <w:color w:val="222222"/>
          <w:sz w:val="23"/>
          <w:szCs w:val="23"/>
        </w:rPr>
        <w:tab/>
        <w:t>Transition to Production Procurement</w:t>
      </w:r>
    </w:p>
    <w:p w14:paraId="4781D902" w14:textId="77777777" w:rsidR="0050278F" w:rsidRDefault="0050278F" w:rsidP="0050278F">
      <w:pPr>
        <w:tabs>
          <w:tab w:val="left" w:pos="1200"/>
        </w:tabs>
        <w:spacing w:before="60" w:after="40"/>
        <w:ind w:left="1170"/>
      </w:pPr>
      <w:r>
        <w:rPr>
          <w:color w:val="222222"/>
          <w:sz w:val="22"/>
          <w:szCs w:val="22"/>
        </w:rPr>
        <w:tab/>
        <w:t>Production Procurement Required; Right of First Negotiation (recommended default</w:t>
      </w:r>
      <w:proofErr w:type="gramStart"/>
      <w:r>
        <w:rPr>
          <w:color w:val="222222"/>
          <w:sz w:val="22"/>
          <w:szCs w:val="22"/>
        </w:rPr>
        <w:t>);</w:t>
      </w:r>
      <w:proofErr w:type="gramEnd"/>
    </w:p>
    <w:p w14:paraId="5B6EFCB0" w14:textId="77777777" w:rsidR="0050278F" w:rsidRDefault="0050278F" w:rsidP="0050278F">
      <w:pPr>
        <w:tabs>
          <w:tab w:val="left" w:pos="1200"/>
        </w:tabs>
        <w:spacing w:before="60" w:after="40"/>
        <w:ind w:left="720"/>
      </w:pPr>
      <w:r>
        <w:rPr>
          <w:color w:val="222222"/>
          <w:sz w:val="22"/>
          <w:szCs w:val="22"/>
        </w:rPr>
        <w:tab/>
        <w:t xml:space="preserve">Alternative Transition Mechanisms; Disqualification </w:t>
      </w:r>
      <w:proofErr w:type="gramStart"/>
      <w:r>
        <w:rPr>
          <w:color w:val="222222"/>
          <w:sz w:val="22"/>
          <w:szCs w:val="22"/>
        </w:rPr>
        <w:t>Prohibited;</w:t>
      </w:r>
      <w:proofErr w:type="gramEnd"/>
    </w:p>
    <w:p w14:paraId="4B7AF444" w14:textId="196A0B84" w:rsidR="00CC298D" w:rsidRDefault="0050278F" w:rsidP="0050278F">
      <w:pPr>
        <w:ind w:left="450"/>
        <w:rPr>
          <w:color w:val="222222"/>
          <w:sz w:val="22"/>
          <w:szCs w:val="22"/>
        </w:rPr>
      </w:pPr>
      <w:r>
        <w:rPr>
          <w:color w:val="222222"/>
          <w:sz w:val="22"/>
          <w:szCs w:val="22"/>
        </w:rPr>
        <w:t xml:space="preserve">            </w:t>
      </w:r>
      <w:r>
        <w:rPr>
          <w:color w:val="222222"/>
          <w:sz w:val="22"/>
          <w:szCs w:val="22"/>
        </w:rPr>
        <w:t>MVP as Production Specification Baseline</w:t>
      </w:r>
    </w:p>
    <w:p w14:paraId="26CB827D" w14:textId="77777777" w:rsidR="0050278F" w:rsidRDefault="0050278F" w:rsidP="0050278F">
      <w:pPr>
        <w:tabs>
          <w:tab w:val="left" w:pos="480"/>
        </w:tabs>
        <w:spacing w:before="120" w:after="60"/>
      </w:pPr>
      <w:r>
        <w:rPr>
          <w:b/>
          <w:bCs/>
          <w:color w:val="2E4057"/>
        </w:rPr>
        <w:t>PART V</w:t>
      </w:r>
      <w:r>
        <w:rPr>
          <w:b/>
          <w:bCs/>
          <w:color w:val="2E4057"/>
        </w:rPr>
        <w:tab/>
        <w:t>Conforming Amendments to Existing MPC Articles</w:t>
      </w:r>
    </w:p>
    <w:p w14:paraId="6859CEA6" w14:textId="77777777" w:rsidR="0050278F" w:rsidRDefault="0050278F" w:rsidP="0050278F">
      <w:pPr>
        <w:tabs>
          <w:tab w:val="left" w:pos="840"/>
        </w:tabs>
        <w:spacing w:before="60" w:after="40"/>
        <w:ind w:left="360"/>
      </w:pPr>
      <w:r>
        <w:rPr>
          <w:color w:val="222222"/>
          <w:sz w:val="23"/>
          <w:szCs w:val="23"/>
        </w:rPr>
        <w:t>Amendment 1</w:t>
      </w:r>
      <w:r>
        <w:rPr>
          <w:color w:val="222222"/>
          <w:sz w:val="23"/>
          <w:szCs w:val="23"/>
        </w:rPr>
        <w:tab/>
        <w:t>§ 3-101 — Principles Governing Source Selection</w:t>
      </w:r>
    </w:p>
    <w:p w14:paraId="58599CF5" w14:textId="77777777" w:rsidR="0050278F" w:rsidRDefault="0050278F" w:rsidP="0050278F">
      <w:pPr>
        <w:tabs>
          <w:tab w:val="left" w:pos="1200"/>
        </w:tabs>
        <w:spacing w:before="60" w:after="40"/>
        <w:ind w:left="720"/>
      </w:pPr>
      <w:r>
        <w:rPr>
          <w:color w:val="222222"/>
          <w:sz w:val="22"/>
          <w:szCs w:val="22"/>
        </w:rPr>
        <w:lastRenderedPageBreak/>
        <w:tab/>
        <w:t>Broadens competition definition for Article 3B evaluations</w:t>
      </w:r>
    </w:p>
    <w:p w14:paraId="00E73701" w14:textId="77777777" w:rsidR="0050278F" w:rsidRDefault="0050278F" w:rsidP="0050278F">
      <w:pPr>
        <w:tabs>
          <w:tab w:val="left" w:pos="840"/>
        </w:tabs>
        <w:spacing w:before="60" w:after="40"/>
        <w:ind w:left="360"/>
      </w:pPr>
      <w:r>
        <w:rPr>
          <w:color w:val="222222"/>
          <w:sz w:val="23"/>
          <w:szCs w:val="23"/>
        </w:rPr>
        <w:t>Amendment 2</w:t>
      </w:r>
      <w:r>
        <w:rPr>
          <w:color w:val="222222"/>
          <w:sz w:val="23"/>
          <w:szCs w:val="23"/>
        </w:rPr>
        <w:tab/>
        <w:t>§ 3-205 — Sole Source Procurement</w:t>
      </w:r>
    </w:p>
    <w:p w14:paraId="4135C63A" w14:textId="77777777" w:rsidR="0050278F" w:rsidRDefault="0050278F" w:rsidP="0050278F">
      <w:pPr>
        <w:tabs>
          <w:tab w:val="left" w:pos="1200"/>
        </w:tabs>
        <w:spacing w:before="60" w:after="40"/>
        <w:ind w:left="720"/>
      </w:pPr>
      <w:r>
        <w:rPr>
          <w:color w:val="222222"/>
          <w:sz w:val="22"/>
          <w:szCs w:val="22"/>
        </w:rPr>
        <w:tab/>
        <w:t>Phase continuation awards within PoC framework; production prohibition</w:t>
      </w:r>
    </w:p>
    <w:p w14:paraId="470286FF" w14:textId="77777777" w:rsidR="0050278F" w:rsidRDefault="0050278F" w:rsidP="0050278F">
      <w:pPr>
        <w:tabs>
          <w:tab w:val="left" w:pos="840"/>
        </w:tabs>
        <w:spacing w:before="60" w:after="40"/>
        <w:ind w:left="360"/>
      </w:pPr>
      <w:r>
        <w:rPr>
          <w:color w:val="222222"/>
          <w:sz w:val="23"/>
          <w:szCs w:val="23"/>
        </w:rPr>
        <w:t>Amendment 3</w:t>
      </w:r>
      <w:r>
        <w:rPr>
          <w:color w:val="222222"/>
          <w:sz w:val="23"/>
          <w:szCs w:val="23"/>
        </w:rPr>
        <w:tab/>
        <w:t>§ 4-102 — Maximizing Competition Through Specifications</w:t>
      </w:r>
    </w:p>
    <w:p w14:paraId="4701C778" w14:textId="77777777" w:rsidR="0050278F" w:rsidRDefault="0050278F" w:rsidP="0050278F">
      <w:pPr>
        <w:tabs>
          <w:tab w:val="left" w:pos="1200"/>
        </w:tabs>
        <w:spacing w:before="60" w:after="40"/>
        <w:ind w:left="720"/>
      </w:pPr>
      <w:r>
        <w:rPr>
          <w:color w:val="222222"/>
          <w:sz w:val="22"/>
          <w:szCs w:val="22"/>
        </w:rPr>
        <w:tab/>
        <w:t>Outcome-based specification compliance standard; protest preclusion</w:t>
      </w:r>
    </w:p>
    <w:p w14:paraId="2A4E107A" w14:textId="77777777" w:rsidR="0050278F" w:rsidRDefault="0050278F" w:rsidP="0050278F">
      <w:pPr>
        <w:tabs>
          <w:tab w:val="left" w:pos="840"/>
        </w:tabs>
        <w:spacing w:before="60" w:after="40"/>
        <w:ind w:left="360"/>
      </w:pPr>
      <w:r>
        <w:rPr>
          <w:color w:val="222222"/>
          <w:sz w:val="23"/>
          <w:szCs w:val="23"/>
        </w:rPr>
        <w:t>Amendment 4</w:t>
      </w:r>
      <w:r>
        <w:rPr>
          <w:color w:val="222222"/>
          <w:sz w:val="23"/>
          <w:szCs w:val="23"/>
        </w:rPr>
        <w:tab/>
        <w:t>§ 15-104 — Professional Development and Training</w:t>
      </w:r>
    </w:p>
    <w:p w14:paraId="0FDACF8C" w14:textId="77777777" w:rsidR="0050278F" w:rsidRDefault="0050278F" w:rsidP="0050278F">
      <w:pPr>
        <w:tabs>
          <w:tab w:val="left" w:pos="1200"/>
        </w:tabs>
        <w:spacing w:before="60" w:after="40"/>
        <w:ind w:left="720"/>
      </w:pPr>
      <w:r>
        <w:rPr>
          <w:color w:val="222222"/>
          <w:sz w:val="22"/>
          <w:szCs w:val="22"/>
        </w:rPr>
        <w:tab/>
        <w:t>Innovation Procurement Officer designation; 16-hour training requirement</w:t>
      </w:r>
    </w:p>
    <w:p w14:paraId="10108335" w14:textId="77777777" w:rsidR="0050278F" w:rsidRDefault="0050278F" w:rsidP="0050278F">
      <w:pPr>
        <w:tabs>
          <w:tab w:val="left" w:pos="480"/>
        </w:tabs>
        <w:spacing w:before="120" w:after="60"/>
      </w:pPr>
      <w:r>
        <w:rPr>
          <w:b/>
          <w:bCs/>
          <w:color w:val="2E4057"/>
        </w:rPr>
        <w:t>PART VI</w:t>
      </w:r>
      <w:r>
        <w:rPr>
          <w:b/>
          <w:bCs/>
          <w:color w:val="2E4057"/>
        </w:rPr>
        <w:tab/>
        <w:t>Intellectual Property Framework — Extended Analysis</w:t>
      </w:r>
    </w:p>
    <w:p w14:paraId="64864698" w14:textId="77777777" w:rsidR="0050278F" w:rsidRDefault="0050278F" w:rsidP="0050278F">
      <w:pPr>
        <w:tabs>
          <w:tab w:val="left" w:pos="840"/>
        </w:tabs>
        <w:spacing w:before="60" w:after="40"/>
        <w:ind w:left="360"/>
      </w:pPr>
      <w:r>
        <w:rPr>
          <w:color w:val="222222"/>
          <w:sz w:val="23"/>
          <w:szCs w:val="23"/>
        </w:rPr>
        <w:t>A.</w:t>
      </w:r>
      <w:r>
        <w:rPr>
          <w:color w:val="222222"/>
          <w:sz w:val="23"/>
          <w:szCs w:val="23"/>
        </w:rPr>
        <w:tab/>
        <w:t>The Policy Architecture of Vendor-Retains Foreground IP</w:t>
      </w:r>
    </w:p>
    <w:p w14:paraId="0E4F13DB" w14:textId="77777777" w:rsidR="0050278F" w:rsidRDefault="0050278F" w:rsidP="0050278F">
      <w:pPr>
        <w:tabs>
          <w:tab w:val="left" w:pos="1200"/>
        </w:tabs>
        <w:spacing w:before="60" w:after="40"/>
        <w:ind w:left="720"/>
      </w:pPr>
      <w:r>
        <w:rPr>
          <w:color w:val="222222"/>
          <w:sz w:val="22"/>
          <w:szCs w:val="22"/>
        </w:rPr>
        <w:tab/>
        <w:t>Participation incentive; market development; competition preservation</w:t>
      </w:r>
    </w:p>
    <w:p w14:paraId="0AB97BD9" w14:textId="77777777" w:rsidR="0050278F" w:rsidRDefault="0050278F" w:rsidP="0050278F">
      <w:pPr>
        <w:tabs>
          <w:tab w:val="left" w:pos="840"/>
        </w:tabs>
        <w:spacing w:before="60" w:after="40"/>
        <w:ind w:left="360"/>
      </w:pPr>
      <w:r>
        <w:rPr>
          <w:color w:val="222222"/>
          <w:sz w:val="23"/>
          <w:szCs w:val="23"/>
        </w:rPr>
        <w:t>B.</w:t>
      </w:r>
      <w:r>
        <w:rPr>
          <w:color w:val="222222"/>
          <w:sz w:val="23"/>
          <w:szCs w:val="23"/>
        </w:rPr>
        <w:tab/>
        <w:t>The Citizen Data Carve-Out as Non-Negotiable Baseline</w:t>
      </w:r>
    </w:p>
    <w:p w14:paraId="08D0EBA8" w14:textId="77777777" w:rsidR="0050278F" w:rsidRDefault="0050278F" w:rsidP="0050278F">
      <w:pPr>
        <w:tabs>
          <w:tab w:val="left" w:pos="1200"/>
        </w:tabs>
        <w:spacing w:before="60" w:after="40"/>
        <w:ind w:left="720"/>
      </w:pPr>
      <w:r>
        <w:rPr>
          <w:color w:val="222222"/>
          <w:sz w:val="22"/>
          <w:szCs w:val="22"/>
        </w:rPr>
        <w:tab/>
        <w:t>Fiduciary basis; return/destruction timelines; state law interaction</w:t>
      </w:r>
    </w:p>
    <w:p w14:paraId="51ED4BDF" w14:textId="77777777" w:rsidR="0050278F" w:rsidRDefault="0050278F" w:rsidP="0050278F">
      <w:pPr>
        <w:tabs>
          <w:tab w:val="left" w:pos="840"/>
        </w:tabs>
        <w:spacing w:before="60" w:after="40"/>
        <w:ind w:left="360"/>
      </w:pPr>
      <w:r>
        <w:rPr>
          <w:color w:val="222222"/>
          <w:sz w:val="23"/>
          <w:szCs w:val="23"/>
        </w:rPr>
        <w:t>C.</w:t>
      </w:r>
      <w:r>
        <w:rPr>
          <w:color w:val="222222"/>
          <w:sz w:val="23"/>
          <w:szCs w:val="23"/>
        </w:rPr>
        <w:tab/>
        <w:t>Background IP and Vendor Risk Allocation</w:t>
      </w:r>
    </w:p>
    <w:p w14:paraId="17847A90" w14:textId="77777777" w:rsidR="0050278F" w:rsidRDefault="0050278F" w:rsidP="0050278F">
      <w:pPr>
        <w:tabs>
          <w:tab w:val="left" w:pos="1200"/>
        </w:tabs>
        <w:spacing w:before="60" w:after="40"/>
        <w:ind w:left="720"/>
      </w:pPr>
      <w:r>
        <w:rPr>
          <w:color w:val="222222"/>
          <w:sz w:val="22"/>
          <w:szCs w:val="22"/>
        </w:rPr>
        <w:tab/>
        <w:t>Background IP identification practice; boundary documentation</w:t>
      </w:r>
    </w:p>
    <w:p w14:paraId="505EA3E7" w14:textId="77777777" w:rsidR="0050278F" w:rsidRDefault="0050278F" w:rsidP="0050278F">
      <w:pPr>
        <w:tabs>
          <w:tab w:val="left" w:pos="840"/>
        </w:tabs>
        <w:spacing w:before="60" w:after="40"/>
        <w:ind w:left="360"/>
      </w:pPr>
      <w:r>
        <w:rPr>
          <w:color w:val="222222"/>
          <w:sz w:val="23"/>
          <w:szCs w:val="23"/>
        </w:rPr>
        <w:t>D.</w:t>
      </w:r>
      <w:r>
        <w:rPr>
          <w:color w:val="222222"/>
          <w:sz w:val="23"/>
          <w:szCs w:val="23"/>
        </w:rPr>
        <w:tab/>
        <w:t>The Safe Harbor Modification Framework in Practice</w:t>
      </w:r>
    </w:p>
    <w:p w14:paraId="59C2BA98" w14:textId="77777777" w:rsidR="0050278F" w:rsidRDefault="0050278F" w:rsidP="0050278F">
      <w:pPr>
        <w:tabs>
          <w:tab w:val="left" w:pos="1200"/>
        </w:tabs>
        <w:spacing w:before="60" w:after="40"/>
        <w:ind w:left="720"/>
      </w:pPr>
      <w:r>
        <w:rPr>
          <w:color w:val="222222"/>
          <w:sz w:val="22"/>
          <w:szCs w:val="22"/>
        </w:rPr>
        <w:tab/>
        <w:t xml:space="preserve">When modification is </w:t>
      </w:r>
      <w:proofErr w:type="gramStart"/>
      <w:r>
        <w:rPr>
          <w:color w:val="222222"/>
          <w:sz w:val="22"/>
          <w:szCs w:val="22"/>
        </w:rPr>
        <w:t>warranted;</w:t>
      </w:r>
      <w:proofErr w:type="gramEnd"/>
      <w:r>
        <w:rPr>
          <w:color w:val="222222"/>
          <w:sz w:val="22"/>
          <w:szCs w:val="22"/>
        </w:rPr>
        <w:t xml:space="preserve"> state legal counsel considerations</w:t>
      </w:r>
    </w:p>
    <w:p w14:paraId="29B7244E" w14:textId="77777777" w:rsidR="0050278F" w:rsidRDefault="0050278F" w:rsidP="0050278F">
      <w:pPr>
        <w:tabs>
          <w:tab w:val="left" w:pos="480"/>
        </w:tabs>
        <w:spacing w:before="120" w:after="60"/>
      </w:pPr>
      <w:r>
        <w:rPr>
          <w:b/>
          <w:bCs/>
          <w:color w:val="2E4057"/>
        </w:rPr>
        <w:t>PART VII</w:t>
      </w:r>
      <w:r>
        <w:rPr>
          <w:b/>
          <w:bCs/>
          <w:color w:val="2E4057"/>
        </w:rPr>
        <w:tab/>
        <w:t>Appendix 3B — The Article 3B Consortium Toolkit</w:t>
      </w:r>
    </w:p>
    <w:p w14:paraId="71F89D7F" w14:textId="77777777" w:rsidR="0050278F" w:rsidRDefault="0050278F" w:rsidP="0050278F">
      <w:pPr>
        <w:tabs>
          <w:tab w:val="left" w:pos="840"/>
        </w:tabs>
        <w:spacing w:before="60" w:after="40"/>
        <w:ind w:left="360"/>
      </w:pPr>
      <w:r>
        <w:rPr>
          <w:color w:val="222222"/>
          <w:sz w:val="23"/>
          <w:szCs w:val="23"/>
        </w:rPr>
        <w:t>A.</w:t>
      </w:r>
      <w:r>
        <w:rPr>
          <w:color w:val="222222"/>
          <w:sz w:val="23"/>
          <w:szCs w:val="23"/>
        </w:rPr>
        <w:tab/>
        <w:t>Governance MOU Template</w:t>
      </w:r>
    </w:p>
    <w:p w14:paraId="69BF172E" w14:textId="77777777" w:rsidR="0050278F" w:rsidRDefault="0050278F" w:rsidP="0050278F">
      <w:pPr>
        <w:tabs>
          <w:tab w:val="left" w:pos="1200"/>
        </w:tabs>
        <w:spacing w:before="60" w:after="40"/>
        <w:ind w:left="720"/>
      </w:pPr>
      <w:r>
        <w:rPr>
          <w:color w:val="222222"/>
          <w:sz w:val="22"/>
          <w:szCs w:val="22"/>
        </w:rPr>
        <w:tab/>
        <w:t>Toolkit Component 1: Consortium Memorandum of Understanding Template</w:t>
      </w:r>
    </w:p>
    <w:p w14:paraId="62E93E43" w14:textId="77777777" w:rsidR="0050278F" w:rsidRDefault="0050278F" w:rsidP="0050278F">
      <w:pPr>
        <w:tabs>
          <w:tab w:val="left" w:pos="840"/>
        </w:tabs>
        <w:spacing w:before="60" w:after="40"/>
        <w:ind w:left="360"/>
      </w:pPr>
      <w:r>
        <w:rPr>
          <w:color w:val="222222"/>
          <w:sz w:val="23"/>
          <w:szCs w:val="23"/>
        </w:rPr>
        <w:t>B.</w:t>
      </w:r>
      <w:r>
        <w:rPr>
          <w:color w:val="222222"/>
          <w:sz w:val="23"/>
          <w:szCs w:val="23"/>
        </w:rPr>
        <w:tab/>
        <w:t>Solicitation and Evaluation Templates</w:t>
      </w:r>
    </w:p>
    <w:p w14:paraId="29068887" w14:textId="77777777" w:rsidR="0050278F" w:rsidRDefault="0050278F" w:rsidP="0050278F">
      <w:pPr>
        <w:tabs>
          <w:tab w:val="left" w:pos="1200"/>
        </w:tabs>
        <w:spacing w:before="60" w:after="40"/>
        <w:ind w:left="720"/>
      </w:pPr>
      <w:r>
        <w:rPr>
          <w:color w:val="222222"/>
          <w:sz w:val="22"/>
          <w:szCs w:val="22"/>
        </w:rPr>
        <w:tab/>
        <w:t>Toolkit Component 2: Phase 1 Solicitation Template</w:t>
      </w:r>
    </w:p>
    <w:p w14:paraId="7AB06401" w14:textId="77777777" w:rsidR="0050278F" w:rsidRDefault="0050278F" w:rsidP="0050278F">
      <w:pPr>
        <w:tabs>
          <w:tab w:val="left" w:pos="1200"/>
        </w:tabs>
        <w:spacing w:before="60" w:after="40"/>
        <w:ind w:left="720"/>
      </w:pPr>
      <w:r>
        <w:rPr>
          <w:color w:val="222222"/>
          <w:sz w:val="22"/>
          <w:szCs w:val="22"/>
        </w:rPr>
        <w:tab/>
        <w:t>Toolkit Component 3: Phase 2 and Phase 3 Solicitation Templates</w:t>
      </w:r>
    </w:p>
    <w:p w14:paraId="5BF966B5" w14:textId="77777777" w:rsidR="0050278F" w:rsidRDefault="0050278F" w:rsidP="0050278F">
      <w:pPr>
        <w:tabs>
          <w:tab w:val="left" w:pos="1200"/>
        </w:tabs>
        <w:spacing w:before="60" w:after="40"/>
        <w:ind w:left="720"/>
      </w:pPr>
      <w:r>
        <w:rPr>
          <w:color w:val="222222"/>
          <w:sz w:val="22"/>
          <w:szCs w:val="22"/>
        </w:rPr>
        <w:tab/>
        <w:t>Toolkit Component 4: Evaluation Scorecard Templates</w:t>
      </w:r>
    </w:p>
    <w:p w14:paraId="09E620C6" w14:textId="77777777" w:rsidR="0050278F" w:rsidRDefault="0050278F" w:rsidP="0050278F">
      <w:pPr>
        <w:tabs>
          <w:tab w:val="left" w:pos="840"/>
        </w:tabs>
        <w:spacing w:before="60" w:after="40"/>
        <w:ind w:left="360"/>
      </w:pPr>
      <w:r>
        <w:rPr>
          <w:color w:val="222222"/>
          <w:sz w:val="23"/>
          <w:szCs w:val="23"/>
        </w:rPr>
        <w:t>C.</w:t>
      </w:r>
      <w:r>
        <w:rPr>
          <w:color w:val="222222"/>
          <w:sz w:val="23"/>
          <w:szCs w:val="23"/>
        </w:rPr>
        <w:tab/>
        <w:t>Contract Templates</w:t>
      </w:r>
    </w:p>
    <w:p w14:paraId="5C83F870" w14:textId="77777777" w:rsidR="0050278F" w:rsidRDefault="0050278F" w:rsidP="0050278F">
      <w:pPr>
        <w:tabs>
          <w:tab w:val="left" w:pos="1200"/>
        </w:tabs>
        <w:spacing w:before="60" w:after="40"/>
        <w:ind w:left="720"/>
      </w:pPr>
      <w:r>
        <w:rPr>
          <w:color w:val="222222"/>
          <w:sz w:val="22"/>
          <w:szCs w:val="22"/>
        </w:rPr>
        <w:tab/>
        <w:t>Toolkit Component 5: PoC Contract Template with Flow-Down Clauses</w:t>
      </w:r>
    </w:p>
    <w:p w14:paraId="4DDEB67B" w14:textId="77777777" w:rsidR="0050278F" w:rsidRDefault="0050278F" w:rsidP="0050278F">
      <w:pPr>
        <w:tabs>
          <w:tab w:val="left" w:pos="1200"/>
        </w:tabs>
        <w:spacing w:before="60" w:after="40"/>
        <w:ind w:left="720"/>
      </w:pPr>
      <w:r>
        <w:rPr>
          <w:color w:val="222222"/>
          <w:sz w:val="22"/>
          <w:szCs w:val="22"/>
        </w:rPr>
        <w:tab/>
        <w:t>Toolkit Component 6: Independent Technical Monitor Engagement Template</w:t>
      </w:r>
    </w:p>
    <w:p w14:paraId="740B65B2" w14:textId="77777777" w:rsidR="0050278F" w:rsidRDefault="0050278F" w:rsidP="0050278F">
      <w:pPr>
        <w:tabs>
          <w:tab w:val="left" w:pos="840"/>
        </w:tabs>
        <w:spacing w:before="60" w:after="40"/>
        <w:ind w:left="360"/>
      </w:pPr>
      <w:r>
        <w:rPr>
          <w:color w:val="222222"/>
          <w:sz w:val="23"/>
          <w:szCs w:val="23"/>
        </w:rPr>
        <w:t>D.</w:t>
      </w:r>
      <w:r>
        <w:rPr>
          <w:color w:val="222222"/>
          <w:sz w:val="23"/>
          <w:szCs w:val="23"/>
        </w:rPr>
        <w:tab/>
        <w:t>Financial Tools</w:t>
      </w:r>
    </w:p>
    <w:p w14:paraId="744955C5" w14:textId="77777777" w:rsidR="0050278F" w:rsidRDefault="0050278F" w:rsidP="0050278F">
      <w:pPr>
        <w:tabs>
          <w:tab w:val="left" w:pos="1200"/>
        </w:tabs>
        <w:spacing w:before="60" w:after="40"/>
        <w:ind w:left="720"/>
      </w:pPr>
      <w:r>
        <w:rPr>
          <w:color w:val="222222"/>
          <w:sz w:val="22"/>
          <w:szCs w:val="22"/>
        </w:rPr>
        <w:tab/>
        <w:t>Toolkit Component 7: Cost-Sharing Calculator</w:t>
      </w:r>
    </w:p>
    <w:p w14:paraId="3C6C6D5D" w14:textId="77777777" w:rsidR="0050278F" w:rsidRDefault="0050278F" w:rsidP="0050278F">
      <w:pPr>
        <w:tabs>
          <w:tab w:val="left" w:pos="1200"/>
        </w:tabs>
        <w:spacing w:before="60" w:after="40"/>
        <w:ind w:left="720"/>
      </w:pPr>
      <w:r>
        <w:rPr>
          <w:color w:val="222222"/>
          <w:sz w:val="22"/>
          <w:szCs w:val="22"/>
        </w:rPr>
        <w:tab/>
        <w:t>Toolkit Component 8: PoC Value Cap Calculator</w:t>
      </w:r>
    </w:p>
    <w:p w14:paraId="26AC59EF" w14:textId="77777777" w:rsidR="0050278F" w:rsidRDefault="0050278F" w:rsidP="0050278F">
      <w:pPr>
        <w:tabs>
          <w:tab w:val="left" w:pos="840"/>
        </w:tabs>
        <w:spacing w:before="60" w:after="40"/>
        <w:ind w:left="360"/>
      </w:pPr>
      <w:r>
        <w:rPr>
          <w:color w:val="222222"/>
          <w:sz w:val="23"/>
          <w:szCs w:val="23"/>
        </w:rPr>
        <w:t>E.</w:t>
      </w:r>
      <w:r>
        <w:rPr>
          <w:color w:val="222222"/>
          <w:sz w:val="23"/>
          <w:szCs w:val="23"/>
        </w:rPr>
        <w:tab/>
        <w:t>Training and Knowledge Resources</w:t>
      </w:r>
    </w:p>
    <w:p w14:paraId="3D02F4CD" w14:textId="77777777" w:rsidR="0050278F" w:rsidRDefault="0050278F" w:rsidP="0050278F">
      <w:pPr>
        <w:tabs>
          <w:tab w:val="left" w:pos="1200"/>
        </w:tabs>
        <w:spacing w:before="60" w:after="40"/>
        <w:ind w:left="720"/>
      </w:pPr>
      <w:r>
        <w:rPr>
          <w:color w:val="222222"/>
          <w:sz w:val="22"/>
          <w:szCs w:val="22"/>
        </w:rPr>
        <w:tab/>
        <w:t>Toolkit Component 9: Article 3B Training Curriculum (16 hours)</w:t>
      </w:r>
    </w:p>
    <w:p w14:paraId="3576212F" w14:textId="77777777" w:rsidR="0050278F" w:rsidRDefault="0050278F" w:rsidP="0050278F">
      <w:pPr>
        <w:tabs>
          <w:tab w:val="left" w:pos="1200"/>
        </w:tabs>
        <w:spacing w:before="60" w:after="40"/>
        <w:ind w:left="720"/>
      </w:pPr>
      <w:r>
        <w:rPr>
          <w:color w:val="222222"/>
          <w:sz w:val="22"/>
          <w:szCs w:val="22"/>
        </w:rPr>
        <w:tab/>
        <w:t>Toolkit Component 10: Case Study Library</w:t>
      </w:r>
    </w:p>
    <w:p w14:paraId="0FE3D135" w14:textId="77777777" w:rsidR="0050278F" w:rsidRDefault="0050278F" w:rsidP="0050278F">
      <w:pPr>
        <w:tabs>
          <w:tab w:val="left" w:pos="840"/>
        </w:tabs>
        <w:spacing w:before="60" w:after="40"/>
        <w:ind w:left="360"/>
      </w:pPr>
      <w:r>
        <w:rPr>
          <w:color w:val="222222"/>
          <w:sz w:val="23"/>
          <w:szCs w:val="23"/>
        </w:rPr>
        <w:t>F.</w:t>
      </w:r>
      <w:r>
        <w:rPr>
          <w:color w:val="222222"/>
          <w:sz w:val="23"/>
          <w:szCs w:val="23"/>
        </w:rPr>
        <w:tab/>
        <w:t>Toolkit Governance</w:t>
      </w:r>
    </w:p>
    <w:p w14:paraId="31DD9C85" w14:textId="77777777" w:rsidR="0050278F" w:rsidRDefault="0050278F" w:rsidP="0050278F">
      <w:pPr>
        <w:tabs>
          <w:tab w:val="left" w:pos="1200"/>
        </w:tabs>
        <w:spacing w:before="60" w:after="40"/>
        <w:ind w:left="720"/>
      </w:pPr>
      <w:r>
        <w:rPr>
          <w:color w:val="222222"/>
          <w:sz w:val="22"/>
          <w:szCs w:val="22"/>
        </w:rPr>
        <w:tab/>
        <w:t>Version control; update cycles; ABA/NASPO/</w:t>
      </w:r>
      <w:proofErr w:type="spellStart"/>
      <w:r>
        <w:rPr>
          <w:color w:val="222222"/>
          <w:sz w:val="22"/>
          <w:szCs w:val="22"/>
        </w:rPr>
        <w:t>StateRAMP</w:t>
      </w:r>
      <w:proofErr w:type="spellEnd"/>
      <w:r>
        <w:rPr>
          <w:color w:val="222222"/>
          <w:sz w:val="22"/>
          <w:szCs w:val="22"/>
        </w:rPr>
        <w:t xml:space="preserve"> roles</w:t>
      </w:r>
    </w:p>
    <w:p w14:paraId="71240335" w14:textId="77777777" w:rsidR="0050278F" w:rsidRDefault="0050278F" w:rsidP="0050278F">
      <w:pPr>
        <w:tabs>
          <w:tab w:val="left" w:pos="480"/>
        </w:tabs>
        <w:spacing w:before="120" w:after="60"/>
      </w:pPr>
      <w:r>
        <w:rPr>
          <w:b/>
          <w:bCs/>
          <w:color w:val="2E4057"/>
        </w:rPr>
        <w:t>PART VIII</w:t>
      </w:r>
      <w:r>
        <w:rPr>
          <w:b/>
          <w:bCs/>
          <w:color w:val="2E4057"/>
        </w:rPr>
        <w:tab/>
        <w:t>Implementation and Adoption Roadmap</w:t>
      </w:r>
    </w:p>
    <w:p w14:paraId="0D9C0E61" w14:textId="77777777" w:rsidR="0050278F" w:rsidRDefault="0050278F" w:rsidP="0050278F">
      <w:pPr>
        <w:tabs>
          <w:tab w:val="left" w:pos="840"/>
        </w:tabs>
        <w:spacing w:before="60" w:after="40"/>
        <w:ind w:left="360"/>
      </w:pPr>
      <w:r>
        <w:rPr>
          <w:color w:val="222222"/>
          <w:sz w:val="23"/>
          <w:szCs w:val="23"/>
        </w:rPr>
        <w:t>A.</w:t>
      </w:r>
      <w:r>
        <w:rPr>
          <w:color w:val="222222"/>
          <w:sz w:val="23"/>
          <w:szCs w:val="23"/>
        </w:rPr>
        <w:tab/>
        <w:t>Adoption Strategy: Pilot Then Publish</w:t>
      </w:r>
    </w:p>
    <w:p w14:paraId="36E0581C" w14:textId="77777777" w:rsidR="0050278F" w:rsidRDefault="0050278F" w:rsidP="0050278F">
      <w:pPr>
        <w:tabs>
          <w:tab w:val="left" w:pos="1200"/>
        </w:tabs>
        <w:spacing w:before="60" w:after="40"/>
        <w:ind w:left="720"/>
      </w:pPr>
      <w:r>
        <w:rPr>
          <w:color w:val="222222"/>
          <w:sz w:val="22"/>
          <w:szCs w:val="22"/>
        </w:rPr>
        <w:tab/>
        <w:t xml:space="preserve">Five-state pilot structure; NASPO coordination; real-time </w:t>
      </w:r>
      <w:proofErr w:type="gramStart"/>
      <w:r>
        <w:rPr>
          <w:color w:val="222222"/>
          <w:sz w:val="22"/>
          <w:szCs w:val="22"/>
        </w:rPr>
        <w:t>documentation;</w:t>
      </w:r>
      <w:proofErr w:type="gramEnd"/>
    </w:p>
    <w:p w14:paraId="57A0FED7" w14:textId="77777777" w:rsidR="0050278F" w:rsidRDefault="0050278F" w:rsidP="0050278F">
      <w:pPr>
        <w:tabs>
          <w:tab w:val="left" w:pos="1200"/>
        </w:tabs>
        <w:spacing w:before="60" w:after="40"/>
        <w:ind w:left="720"/>
      </w:pPr>
      <w:r>
        <w:rPr>
          <w:color w:val="222222"/>
          <w:sz w:val="22"/>
          <w:szCs w:val="22"/>
        </w:rPr>
        <w:tab/>
        <w:t>Consortium knowledge record as public good</w:t>
      </w:r>
    </w:p>
    <w:p w14:paraId="565D61AF" w14:textId="77777777" w:rsidR="0050278F" w:rsidRDefault="0050278F" w:rsidP="0050278F">
      <w:pPr>
        <w:tabs>
          <w:tab w:val="left" w:pos="840"/>
        </w:tabs>
        <w:spacing w:before="60" w:after="40"/>
        <w:ind w:left="360"/>
      </w:pPr>
      <w:r>
        <w:rPr>
          <w:color w:val="222222"/>
          <w:sz w:val="23"/>
          <w:szCs w:val="23"/>
        </w:rPr>
        <w:t>B.</w:t>
      </w:r>
      <w:r>
        <w:rPr>
          <w:color w:val="222222"/>
          <w:sz w:val="23"/>
          <w:szCs w:val="23"/>
        </w:rPr>
        <w:tab/>
        <w:t>Legislative Adoption Mechanics</w:t>
      </w:r>
    </w:p>
    <w:p w14:paraId="57795FC6" w14:textId="77777777" w:rsidR="0050278F" w:rsidRDefault="0050278F" w:rsidP="0050278F">
      <w:pPr>
        <w:tabs>
          <w:tab w:val="left" w:pos="1200"/>
        </w:tabs>
        <w:spacing w:before="60" w:after="40"/>
        <w:ind w:left="720"/>
      </w:pPr>
      <w:r>
        <w:rPr>
          <w:color w:val="222222"/>
          <w:sz w:val="22"/>
          <w:szCs w:val="22"/>
        </w:rPr>
        <w:tab/>
        <w:t xml:space="preserve">Statutory and regulatory adoption pathways; 2026-2028 </w:t>
      </w:r>
      <w:proofErr w:type="gramStart"/>
      <w:r>
        <w:rPr>
          <w:color w:val="222222"/>
          <w:sz w:val="22"/>
          <w:szCs w:val="22"/>
        </w:rPr>
        <w:t>timeline;</w:t>
      </w:r>
      <w:proofErr w:type="gramEnd"/>
    </w:p>
    <w:p w14:paraId="665C09AA" w14:textId="77777777" w:rsidR="0050278F" w:rsidRDefault="0050278F" w:rsidP="0050278F">
      <w:pPr>
        <w:tabs>
          <w:tab w:val="left" w:pos="1200"/>
        </w:tabs>
        <w:spacing w:before="60" w:after="40"/>
        <w:ind w:left="720"/>
      </w:pPr>
      <w:r>
        <w:rPr>
          <w:color w:val="222222"/>
          <w:sz w:val="22"/>
          <w:szCs w:val="22"/>
        </w:rPr>
        <w:lastRenderedPageBreak/>
        <w:tab/>
        <w:t>NLC and NACo endorsement strategy; local government adoption</w:t>
      </w:r>
    </w:p>
    <w:p w14:paraId="73EBBDAF" w14:textId="77777777" w:rsidR="0050278F" w:rsidRDefault="0050278F" w:rsidP="0050278F">
      <w:pPr>
        <w:tabs>
          <w:tab w:val="left" w:pos="840"/>
        </w:tabs>
        <w:spacing w:before="60" w:after="40"/>
        <w:ind w:left="360"/>
      </w:pPr>
      <w:r>
        <w:rPr>
          <w:color w:val="222222"/>
          <w:sz w:val="23"/>
          <w:szCs w:val="23"/>
        </w:rPr>
        <w:t>C.</w:t>
      </w:r>
      <w:r>
        <w:rPr>
          <w:color w:val="222222"/>
          <w:sz w:val="23"/>
          <w:szCs w:val="23"/>
        </w:rPr>
        <w:tab/>
        <w:t>Federal Alignment</w:t>
      </w:r>
    </w:p>
    <w:p w14:paraId="35D8D73D" w14:textId="77777777" w:rsidR="0050278F" w:rsidRDefault="0050278F" w:rsidP="0050278F">
      <w:pPr>
        <w:tabs>
          <w:tab w:val="left" w:pos="1200"/>
        </w:tabs>
        <w:spacing w:before="60" w:after="40"/>
        <w:ind w:left="720"/>
      </w:pPr>
      <w:r>
        <w:rPr>
          <w:color w:val="222222"/>
          <w:sz w:val="22"/>
          <w:szCs w:val="22"/>
        </w:rPr>
        <w:tab/>
        <w:t xml:space="preserve">OMB grant condition alignment; SBIR/STTR </w:t>
      </w:r>
      <w:proofErr w:type="gramStart"/>
      <w:r>
        <w:rPr>
          <w:color w:val="222222"/>
          <w:sz w:val="22"/>
          <w:szCs w:val="22"/>
        </w:rPr>
        <w:t>coordination;</w:t>
      </w:r>
      <w:proofErr w:type="gramEnd"/>
    </w:p>
    <w:p w14:paraId="5AC611F4" w14:textId="77777777" w:rsidR="0050278F" w:rsidRDefault="0050278F" w:rsidP="0050278F">
      <w:pPr>
        <w:tabs>
          <w:tab w:val="left" w:pos="1200"/>
        </w:tabs>
        <w:spacing w:before="60" w:after="40"/>
        <w:ind w:left="720"/>
      </w:pPr>
      <w:r>
        <w:rPr>
          <w:color w:val="222222"/>
          <w:sz w:val="22"/>
          <w:szCs w:val="22"/>
        </w:rPr>
        <w:tab/>
        <w:t>DHS PIL curriculum partnership</w:t>
      </w:r>
    </w:p>
    <w:p w14:paraId="7BABB2D3" w14:textId="77777777" w:rsidR="0050278F" w:rsidRDefault="0050278F" w:rsidP="0050278F">
      <w:pPr>
        <w:tabs>
          <w:tab w:val="left" w:pos="840"/>
        </w:tabs>
        <w:spacing w:before="60" w:after="40"/>
        <w:ind w:left="360"/>
      </w:pPr>
      <w:r>
        <w:rPr>
          <w:color w:val="222222"/>
          <w:sz w:val="23"/>
          <w:szCs w:val="23"/>
        </w:rPr>
        <w:t>D.</w:t>
      </w:r>
      <w:r>
        <w:rPr>
          <w:color w:val="222222"/>
          <w:sz w:val="23"/>
          <w:szCs w:val="23"/>
        </w:rPr>
        <w:tab/>
      </w:r>
      <w:proofErr w:type="spellStart"/>
      <w:r>
        <w:rPr>
          <w:color w:val="222222"/>
          <w:sz w:val="23"/>
          <w:szCs w:val="23"/>
        </w:rPr>
        <w:t>StateRAMP</w:t>
      </w:r>
      <w:proofErr w:type="spellEnd"/>
      <w:r>
        <w:rPr>
          <w:color w:val="222222"/>
          <w:sz w:val="23"/>
          <w:szCs w:val="23"/>
        </w:rPr>
        <w:t xml:space="preserve"> and Subcontractor Prequalification Framework Development</w:t>
      </w:r>
    </w:p>
    <w:p w14:paraId="04F84C28" w14:textId="77777777" w:rsidR="0050278F" w:rsidRDefault="0050278F" w:rsidP="0050278F">
      <w:pPr>
        <w:tabs>
          <w:tab w:val="left" w:pos="1200"/>
        </w:tabs>
        <w:spacing w:before="60" w:after="40"/>
        <w:ind w:left="720"/>
      </w:pPr>
      <w:r>
        <w:rPr>
          <w:color w:val="222222"/>
          <w:sz w:val="22"/>
          <w:szCs w:val="22"/>
        </w:rPr>
        <w:tab/>
        <w:t xml:space="preserve">Domain scoping; standards development </w:t>
      </w:r>
      <w:proofErr w:type="gramStart"/>
      <w:r>
        <w:rPr>
          <w:color w:val="222222"/>
          <w:sz w:val="22"/>
          <w:szCs w:val="22"/>
        </w:rPr>
        <w:t>2026-2027;</w:t>
      </w:r>
      <w:proofErr w:type="gramEnd"/>
    </w:p>
    <w:p w14:paraId="448E459D" w14:textId="77777777" w:rsidR="0050278F" w:rsidRDefault="0050278F" w:rsidP="0050278F">
      <w:pPr>
        <w:tabs>
          <w:tab w:val="left" w:pos="1200"/>
        </w:tabs>
        <w:spacing w:before="60" w:after="40"/>
        <w:ind w:left="720"/>
      </w:pPr>
      <w:r>
        <w:rPr>
          <w:color w:val="222222"/>
          <w:sz w:val="22"/>
          <w:szCs w:val="22"/>
        </w:rPr>
        <w:tab/>
        <w:t>Pilot program 2028; MS-ISAC coordination</w:t>
      </w:r>
    </w:p>
    <w:p w14:paraId="211182E3" w14:textId="77777777" w:rsidR="0050278F" w:rsidRDefault="0050278F" w:rsidP="0050278F">
      <w:pPr>
        <w:tabs>
          <w:tab w:val="left" w:pos="840"/>
        </w:tabs>
        <w:spacing w:before="60" w:after="40"/>
        <w:ind w:left="360"/>
      </w:pPr>
      <w:r>
        <w:rPr>
          <w:color w:val="222222"/>
          <w:sz w:val="23"/>
          <w:szCs w:val="23"/>
        </w:rPr>
        <w:t>E.</w:t>
      </w:r>
      <w:r>
        <w:rPr>
          <w:color w:val="222222"/>
          <w:sz w:val="23"/>
          <w:szCs w:val="23"/>
        </w:rPr>
        <w:tab/>
        <w:t>Metrics for Evaluating Article 3B Performance</w:t>
      </w:r>
    </w:p>
    <w:p w14:paraId="37D6F2B1" w14:textId="77777777" w:rsidR="0050278F" w:rsidRDefault="0050278F" w:rsidP="0050278F">
      <w:pPr>
        <w:tabs>
          <w:tab w:val="left" w:pos="1200"/>
        </w:tabs>
        <w:spacing w:before="60" w:after="40"/>
        <w:ind w:left="720"/>
      </w:pPr>
      <w:r>
        <w:rPr>
          <w:color w:val="222222"/>
          <w:sz w:val="22"/>
          <w:szCs w:val="22"/>
        </w:rPr>
        <w:tab/>
        <w:t xml:space="preserve">PoC-to-MVP conversion rate; MVP-to-production transition </w:t>
      </w:r>
      <w:proofErr w:type="gramStart"/>
      <w:r>
        <w:rPr>
          <w:color w:val="222222"/>
          <w:sz w:val="22"/>
          <w:szCs w:val="22"/>
        </w:rPr>
        <w:t>rate;</w:t>
      </w:r>
      <w:proofErr w:type="gramEnd"/>
    </w:p>
    <w:p w14:paraId="4C293AEE" w14:textId="77777777" w:rsidR="0050278F" w:rsidRDefault="0050278F" w:rsidP="0050278F">
      <w:pPr>
        <w:tabs>
          <w:tab w:val="left" w:pos="1200"/>
        </w:tabs>
        <w:spacing w:before="60" w:after="40"/>
        <w:ind w:left="720"/>
      </w:pPr>
      <w:r>
        <w:rPr>
          <w:color w:val="222222"/>
          <w:sz w:val="22"/>
          <w:szCs w:val="22"/>
        </w:rPr>
        <w:tab/>
        <w:t xml:space="preserve">Specification protest rate; subcontractor accountability incident </w:t>
      </w:r>
      <w:proofErr w:type="gramStart"/>
      <w:r>
        <w:rPr>
          <w:color w:val="222222"/>
          <w:sz w:val="22"/>
          <w:szCs w:val="22"/>
        </w:rPr>
        <w:t>rate;</w:t>
      </w:r>
      <w:proofErr w:type="gramEnd"/>
    </w:p>
    <w:p w14:paraId="64C69300" w14:textId="77777777" w:rsidR="0050278F" w:rsidRDefault="0050278F" w:rsidP="0050278F">
      <w:pPr>
        <w:tabs>
          <w:tab w:val="left" w:pos="1200"/>
        </w:tabs>
        <w:spacing w:before="60" w:after="40"/>
        <w:ind w:left="720"/>
      </w:pPr>
      <w:r>
        <w:rPr>
          <w:color w:val="222222"/>
          <w:sz w:val="22"/>
          <w:szCs w:val="22"/>
        </w:rPr>
        <w:tab/>
        <w:t>Consortium procurement participation rate</w:t>
      </w:r>
    </w:p>
    <w:p w14:paraId="31025F56" w14:textId="77777777" w:rsidR="0050278F" w:rsidRDefault="0050278F" w:rsidP="0050278F">
      <w:pPr>
        <w:tabs>
          <w:tab w:val="left" w:pos="840"/>
        </w:tabs>
        <w:spacing w:before="60" w:after="40"/>
        <w:ind w:left="360"/>
      </w:pPr>
      <w:r>
        <w:rPr>
          <w:color w:val="222222"/>
          <w:sz w:val="23"/>
          <w:szCs w:val="23"/>
        </w:rPr>
        <w:t>F.</w:t>
      </w:r>
      <w:r>
        <w:rPr>
          <w:color w:val="222222"/>
          <w:sz w:val="23"/>
          <w:szCs w:val="23"/>
        </w:rPr>
        <w:tab/>
        <w:t>Long-Term Framework Evolution</w:t>
      </w:r>
    </w:p>
    <w:p w14:paraId="43103524" w14:textId="77777777" w:rsidR="0050278F" w:rsidRDefault="0050278F" w:rsidP="0050278F">
      <w:pPr>
        <w:tabs>
          <w:tab w:val="left" w:pos="1200"/>
        </w:tabs>
        <w:spacing w:before="60" w:after="40"/>
        <w:ind w:left="720"/>
      </w:pPr>
      <w:r>
        <w:rPr>
          <w:color w:val="222222"/>
          <w:sz w:val="22"/>
          <w:szCs w:val="22"/>
        </w:rPr>
        <w:tab/>
        <w:t xml:space="preserve">Technological neutrality; Toolkit update </w:t>
      </w:r>
      <w:proofErr w:type="gramStart"/>
      <w:r>
        <w:rPr>
          <w:color w:val="222222"/>
          <w:sz w:val="22"/>
          <w:szCs w:val="22"/>
        </w:rPr>
        <w:t>cycles;</w:t>
      </w:r>
      <w:proofErr w:type="gramEnd"/>
    </w:p>
    <w:p w14:paraId="5FD38A2E" w14:textId="77777777" w:rsidR="0050278F" w:rsidRDefault="0050278F" w:rsidP="0050278F">
      <w:pPr>
        <w:tabs>
          <w:tab w:val="left" w:pos="1200"/>
        </w:tabs>
        <w:spacing w:before="60" w:after="40"/>
        <w:ind w:left="720"/>
      </w:pPr>
      <w:r>
        <w:rPr>
          <w:color w:val="222222"/>
          <w:sz w:val="22"/>
          <w:szCs w:val="22"/>
        </w:rPr>
        <w:tab/>
        <w:t>Federal procurement law monitoring; cybersecurity standard evolution</w:t>
      </w:r>
    </w:p>
    <w:p w14:paraId="5168FA53" w14:textId="77777777" w:rsidR="0050278F" w:rsidRDefault="0050278F" w:rsidP="0050278F">
      <w:pPr>
        <w:spacing w:before="60" w:after="60"/>
      </w:pPr>
    </w:p>
    <w:p w14:paraId="43582668" w14:textId="77777777" w:rsidR="0050278F" w:rsidRPr="0050278F" w:rsidRDefault="0050278F" w:rsidP="0050278F">
      <w:pPr>
        <w:tabs>
          <w:tab w:val="left" w:pos="840"/>
        </w:tabs>
        <w:spacing w:before="60" w:after="40"/>
        <w:rPr>
          <w:b/>
          <w:bCs/>
        </w:rPr>
      </w:pPr>
      <w:r>
        <w:rPr>
          <w:color w:val="222222"/>
          <w:sz w:val="23"/>
          <w:szCs w:val="23"/>
        </w:rPr>
        <w:tab/>
      </w:r>
      <w:r w:rsidRPr="0050278F">
        <w:rPr>
          <w:b/>
          <w:bCs/>
          <w:color w:val="222222"/>
        </w:rPr>
        <w:t>Conclusion</w:t>
      </w:r>
    </w:p>
    <w:p w14:paraId="3D6ACA2A" w14:textId="77777777" w:rsidR="0050278F" w:rsidRDefault="0050278F" w:rsidP="0050278F">
      <w:pPr>
        <w:ind w:left="450"/>
        <w:rPr>
          <w:b/>
          <w:bCs/>
          <w:caps/>
          <w:color w:val="2E4057"/>
          <w:sz w:val="28"/>
          <w:szCs w:val="28"/>
        </w:rPr>
      </w:pPr>
    </w:p>
    <w:p w14:paraId="100AEB71" w14:textId="77777777" w:rsidR="0050278F" w:rsidRDefault="0050278F">
      <w:pPr>
        <w:rPr>
          <w:b/>
          <w:bCs/>
          <w:caps/>
          <w:color w:val="2E4057"/>
          <w:sz w:val="28"/>
          <w:szCs w:val="28"/>
        </w:rPr>
      </w:pPr>
      <w:r>
        <w:rPr>
          <w:b/>
          <w:bCs/>
          <w:caps/>
          <w:color w:val="2E4057"/>
          <w:sz w:val="28"/>
          <w:szCs w:val="28"/>
        </w:rPr>
        <w:br w:type="page"/>
      </w:r>
    </w:p>
    <w:p w14:paraId="7B6E2E74" w14:textId="66DB8F07"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I: Introduction and Purpose of This Working Paper</w:t>
      </w:r>
    </w:p>
    <w:p w14:paraId="4CF90430" w14:textId="77777777" w:rsidR="00495A62" w:rsidRDefault="00000000">
      <w:pPr>
        <w:pStyle w:val="Heading2"/>
        <w:spacing w:before="360" w:after="140"/>
      </w:pPr>
      <w:r>
        <w:t xml:space="preserve">A. The </w:t>
      </w:r>
      <w:proofErr w:type="gramStart"/>
      <w:r>
        <w:t>Problem</w:t>
      </w:r>
      <w:proofErr w:type="gramEnd"/>
      <w:r>
        <w:t xml:space="preserve"> This Paper Addresses</w:t>
      </w:r>
    </w:p>
    <w:p w14:paraId="08227C95" w14:textId="77777777" w:rsidR="00495A62" w:rsidRDefault="00000000">
      <w:pPr>
        <w:spacing w:before="120" w:after="120" w:line="280" w:lineRule="auto"/>
        <w:jc w:val="both"/>
      </w:pPr>
      <w:r>
        <w:t xml:space="preserve">The 2000 ABA Model Procurement Code for State and Local Governments (the "MPC" or the "Code") is a foundational instrument of American public procurement law. Adopted in whole or substantial part by </w:t>
      </w:r>
      <w:proofErr w:type="gramStart"/>
      <w:r>
        <w:t>a majority of</w:t>
      </w:r>
      <w:proofErr w:type="gramEnd"/>
      <w:r>
        <w:t xml:space="preserve"> states, it has served as a reliable framework for competitive, transparent, and accountable government purchasing for more than two decades. Its core architecture, organized around competitive sealed bidding, competitive sealed proposals, sole source awards, and small purchases, reflects the procurement landscape of its era: a world in which most government needs could be specified with reasonable precision before a solicitation was issued, and in which the principal risks to be managed were favoritism, waste, and the suppression of competition.</w:t>
      </w:r>
    </w:p>
    <w:p w14:paraId="2E121D1F" w14:textId="77777777" w:rsidR="00495A62" w:rsidRDefault="00000000">
      <w:pPr>
        <w:spacing w:before="120" w:after="120" w:line="280" w:lineRule="auto"/>
        <w:jc w:val="both"/>
      </w:pPr>
      <w:r>
        <w:t xml:space="preserve">That architecture does not serve governments well when the need is genuinely novel, not merely complex or unfamiliar. By "genuinely novel," this paper means something precise: a technology, service, or solution that does not yet exist in commercially deployable form and whose optimal design or implementation path is unknown not only to the procuring government but to the </w:t>
      </w:r>
      <w:proofErr w:type="gramStart"/>
      <w:r>
        <w:t>market as a whole</w:t>
      </w:r>
      <w:proofErr w:type="gramEnd"/>
      <w:r>
        <w:t>. Large language model artificial intelligence systems as of 2022 and 2023 provide the clearest recent illustration of this category. No government had deployed LLM-based systems at enterprise scale. No commercial product existed that met government needs out of the box. No vendor could honestly price the work. No specification could be written because the solution space had not been mapped. Every pathology that this paper describes played out in real time: agencies that procured LLM capabilities through standard competitive sealed proposals received proposals ranging from vaporware to overengineered legacy integrations; agencies that used sole source created immediate vendor lock-in before learning anything meaningful; and the governments that fared best were those that ran structured exploratory pilots with multiple vendors before committing to any single approach. LLM AI is used throughout this paper as the primary illustrative example precisely because it is genuinely new to everyone, not merely unfamiliar to government, and because its procurement history is recent enough and widely enough shared that its lessons are accessible to every member of this committee.</w:t>
      </w:r>
    </w:p>
    <w:p w14:paraId="07F4028F" w14:textId="77777777" w:rsidR="00495A62" w:rsidRDefault="00000000">
      <w:pPr>
        <w:spacing w:before="120" w:after="120" w:line="280" w:lineRule="auto"/>
        <w:jc w:val="both"/>
      </w:pPr>
      <w:r>
        <w:t>For genuinely novel needs, the standard procurement cycle produces compounding failures. The agency cannot write meaningful specifications because the solution space has not been explored. Vendors cannot price reliably because the scope of work is undefined. Competition degenerates into a contest of confident assertions rather than demonstrated capability. And the government, having awarded a contract, finds itself locked into a particular vendor and approach before it has learned enough to know whether either was right.</w:t>
      </w:r>
    </w:p>
    <w:p w14:paraId="3712E8B0" w14:textId="77777777" w:rsidR="00495A62" w:rsidRDefault="00000000">
      <w:pPr>
        <w:spacing w:before="120" w:after="120" w:line="280" w:lineRule="auto"/>
        <w:jc w:val="both"/>
      </w:pPr>
      <w:r>
        <w:lastRenderedPageBreak/>
        <w:t xml:space="preserve">The term commonly used for the exploratory phase of such a procurement is "proof of concept," or PoC. A PoC procurement asks not for a finished product but for evidence that a proposed approach can work at all, under conditions sufficiently close to real-world deployment to be meaningful. Done well, a PoC is a structured experiment: it has a defined question, multiple competing hypotheses, a method for generating evidence, and a principled basis for deciding what to do next. Done </w:t>
      </w:r>
      <w:proofErr w:type="gramStart"/>
      <w:r>
        <w:t>poorly, or</w:t>
      </w:r>
      <w:proofErr w:type="gramEnd"/>
      <w:r>
        <w:t xml:space="preserve"> done under procurement rules designed for something else entirely, it is an expensive way to discover problems that could have been identified earlier and more cheaply.</w:t>
      </w:r>
    </w:p>
    <w:p w14:paraId="6B757F60" w14:textId="77777777" w:rsidR="00495A62" w:rsidRDefault="00000000">
      <w:pPr>
        <w:spacing w:before="120" w:after="120" w:line="280" w:lineRule="auto"/>
        <w:jc w:val="both"/>
      </w:pPr>
      <w:r>
        <w:t>The MPC currently has no dedicated mechanism for PoC procurement. Agencies seeking to run a PoC must force it into one of the existing source selection categories. Neither competitive sealed proposals nor sole source authority is well suited to the task, for reasons developed in Part II. The consequences are visible in practice across every technology domain where genuinely novel solutions have been sought, with LLM AI procurement as only the most recent and most visible example.</w:t>
      </w:r>
    </w:p>
    <w:p w14:paraId="15A4851B" w14:textId="77777777" w:rsidR="00495A62" w:rsidRDefault="00000000">
      <w:pPr>
        <w:spacing w:before="120" w:after="120" w:line="280" w:lineRule="auto"/>
        <w:jc w:val="both"/>
      </w:pPr>
      <w:r>
        <w:t xml:space="preserve">This </w:t>
      </w:r>
      <w:proofErr w:type="gramStart"/>
      <w:r>
        <w:t>working</w:t>
      </w:r>
      <w:proofErr w:type="gramEnd"/>
      <w:r>
        <w:t xml:space="preserve"> paper proposes to address these failures through targeted amendments and additions to the MPC. The centerpiece is a new Article 3B, establishing a self-contained procedural framework for PoC procurement of genuinely novel technologies. Article 3B is supplemented by conforming amendments to existing MPC provisions on source selection, specifications, and professional development. Together, these changes are designed to give state and local governments a legally sound, protest-resistant, and practically workable pathway for exploring truly novel solutions without abandoning the core values of competition, transparency, and accountability that the MPC was designed to protect.</w:t>
      </w:r>
    </w:p>
    <w:p w14:paraId="639320C4" w14:textId="77777777" w:rsidR="00495A62" w:rsidRDefault="00000000">
      <w:pPr>
        <w:spacing w:before="120" w:after="120" w:line="280" w:lineRule="auto"/>
        <w:jc w:val="both"/>
      </w:pPr>
      <w:r>
        <w:t>The proposed framework also addresses dimensions of PoC procurement that the existing literature largely overlooks. The first is the fiduciary character of government procurement when the technology being explored involves citizen data or citizen-facing services, imposing constraints on PoC design and execution that go beyond conventional procurement accountability. The second is the operational distinction between PoC work conducted in sandboxed environments and PoC work conducted against live production systems, a distinction with profound implications for data integrity, security, service continuity, and legal liability. The third is the structure of performance accountability across complex multi-party PoC relationships, where the actual expertise and the actual risk of failure are concentrated in subcontractors who bear no direct legal obligation to the government under conventional procurement contract doctrine. Each of these dimensions is addressed in the proposed framework through mechanisms calibrated to their specific risk profiles.</w:t>
      </w:r>
    </w:p>
    <w:p w14:paraId="1E5CF5BE" w14:textId="77777777" w:rsidR="00495A62" w:rsidRDefault="00000000">
      <w:pPr>
        <w:pStyle w:val="Heading2"/>
        <w:spacing w:before="360" w:after="140"/>
      </w:pPr>
      <w:r>
        <w:t>B. Scope and Limitations of This Paper</w:t>
      </w:r>
    </w:p>
    <w:p w14:paraId="6F4C3B22" w14:textId="77777777" w:rsidR="00495A62" w:rsidRDefault="00000000">
      <w:pPr>
        <w:spacing w:before="120" w:after="120" w:line="280" w:lineRule="auto"/>
        <w:jc w:val="both"/>
      </w:pPr>
      <w:r>
        <w:lastRenderedPageBreak/>
        <w:t>This paper addresses procurement of proof-of-concept artifacts for goods, services, and technologies that are genuinely novel, meaning they lack commercially available equivalents meeting the government's functional need as demonstrated by documented market research. It does not address ordinary innovative procurements, in which the solution space is known even if the options are varied, or technology modernization projects, in which legacy systems are replaced by commercially available alternatives. Those procurements present distinct challenges that the existing MPC framework, with its competitive sealed proposal mechanism and performance-based specification guidance, already addresses reasonably well.</w:t>
      </w:r>
    </w:p>
    <w:p w14:paraId="5A8581A2" w14:textId="77777777" w:rsidR="00495A62" w:rsidRDefault="00000000">
      <w:pPr>
        <w:spacing w:before="120" w:after="120" w:line="280" w:lineRule="auto"/>
        <w:jc w:val="both"/>
      </w:pPr>
      <w:r>
        <w:t>This paper also does not address federal procurement law, although it draws on federal models where those models illuminate design choices for state and local frameworks. State and local procurement operates under different constitutional, statutory, and political constraints than federal acquisition, and proposals designed for the Federal Acquisition Regulation cannot be transplanted wholesale into a model state code.</w:t>
      </w:r>
    </w:p>
    <w:p w14:paraId="4ECB0E79" w14:textId="77777777" w:rsidR="00495A62" w:rsidRDefault="00000000">
      <w:pPr>
        <w:spacing w:before="120" w:after="120" w:line="280" w:lineRule="auto"/>
        <w:jc w:val="both"/>
      </w:pPr>
      <w:r>
        <w:t xml:space="preserve">Finally, this paper presents its recommendations as recommendations, not as committee positions. Where the paper takes positions on contested policy questions, as it </w:t>
      </w:r>
      <w:proofErr w:type="gramStart"/>
      <w:r>
        <w:t>must to</w:t>
      </w:r>
      <w:proofErr w:type="gramEnd"/>
      <w:r>
        <w:t xml:space="preserve"> be useful, it explains </w:t>
      </w:r>
      <w:proofErr w:type="gramStart"/>
      <w:r>
        <w:t>its</w:t>
      </w:r>
      <w:proofErr w:type="gramEnd"/>
      <w:r>
        <w:t xml:space="preserve"> reasoning fully so that the committee can evaluate, modify, or reject those positions on their merits. On questions where reasonable practitioners disagree, this paper identifies the disagreement, explains the competing considerations, and states a preference with reasons, leaving the ultimate judgment to the committee and to adopting states.</w:t>
      </w:r>
    </w:p>
    <w:p w14:paraId="5EF72401" w14:textId="77777777" w:rsidR="00495A62" w:rsidRDefault="00000000">
      <w:pPr>
        <w:pStyle w:val="Heading2"/>
        <w:spacing w:before="360" w:after="140"/>
      </w:pPr>
      <w:r>
        <w:t>C. Organization of This Paper</w:t>
      </w:r>
    </w:p>
    <w:p w14:paraId="4A2D115B" w14:textId="77777777" w:rsidR="00495A62" w:rsidRDefault="00000000">
      <w:pPr>
        <w:spacing w:before="120" w:after="120" w:line="280" w:lineRule="auto"/>
        <w:jc w:val="both"/>
      </w:pPr>
      <w:r>
        <w:t xml:space="preserve">Part II examines the specific ways in which the current MPC framework fails to accommodate genuinely novel PoC procurements, addressing in sequence the competitive sealed proposal forced fit, the solution bias problem, the sole source trap, the legal distinction between technology new to government and technology new to everyone, the minimum viable product concept as the analytical bridge between PoC and production procurement, the fiduciary dimension of government PoC procurement, the operational risks of live versus sandboxed system testing, and the contract management and subcontractor accountability challenge that persists after the procurement phase ends, and the case for formalizing government procurement consortia as knowledge-generation and market-shaping instruments rather than merely as logistics mechanisms. Part III surveys the existing frameworks whose design choices inform the proposals in this paper, including a dedicated section on the </w:t>
      </w:r>
      <w:proofErr w:type="spellStart"/>
      <w:r>
        <w:t>StateRAMP</w:t>
      </w:r>
      <w:proofErr w:type="spellEnd"/>
      <w:r>
        <w:t xml:space="preserve"> model as an analogy for subcontractor prequalification. Parts IV through VIII present the proposed statutory language and Official Comments, the conforming amendments to existing MPC articles, the intellectual property framework, the Consortium Toolkit, and the implementation and adoption roadmap.</w:t>
      </w:r>
    </w:p>
    <w:p w14:paraId="3DFFA57A" w14:textId="77777777"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II: The Problem in Detail</w:t>
      </w:r>
    </w:p>
    <w:p w14:paraId="137C15DC" w14:textId="77777777" w:rsidR="00495A62" w:rsidRDefault="00000000">
      <w:pPr>
        <w:pStyle w:val="Heading2"/>
        <w:spacing w:before="360" w:after="140"/>
      </w:pPr>
      <w:r>
        <w:t>A. How the Current MPC Handles Proof-of-Concept Procurement</w:t>
      </w:r>
    </w:p>
    <w:p w14:paraId="1A5F58EA" w14:textId="77777777" w:rsidR="00495A62" w:rsidRDefault="00000000">
      <w:pPr>
        <w:spacing w:before="120" w:after="120" w:line="280" w:lineRule="auto"/>
        <w:jc w:val="both"/>
      </w:pPr>
      <w:r>
        <w:t xml:space="preserve">The 2000 MPC establishes a hierarchy of source selection methods in Article 3, arranged in descending order of competitive formality. Competitive sealed bidding is the default for procurements in which specifications can be fixed in </w:t>
      </w:r>
      <w:proofErr w:type="gramStart"/>
      <w:r>
        <w:t>advance</w:t>
      </w:r>
      <w:proofErr w:type="gramEnd"/>
      <w:r>
        <w:t xml:space="preserve"> and award can be made to the lowest responsive and responsible bidder. Competitive sealed proposals are authorized when the nature of the procurement does not permit the specification and financial evaluation required for sealed bidding, permitting evaluation of factors in addition to price </w:t>
      </w:r>
      <w:proofErr w:type="gramStart"/>
      <w:r>
        <w:t>as long as</w:t>
      </w:r>
      <w:proofErr w:type="gramEnd"/>
      <w:r>
        <w:t xml:space="preserve"> their relative weight is stated in the solicitation. Sole source procurement is permitted when the procurement officer determines in writing that there is only one source for the required supply, service, or construction item. Small purchases and emergency procurements provide simplified procedures for low-value or time-critical needs.</w:t>
      </w:r>
    </w:p>
    <w:p w14:paraId="56E2C121" w14:textId="77777777" w:rsidR="00495A62" w:rsidRDefault="00000000">
      <w:pPr>
        <w:spacing w:before="120" w:after="120" w:line="280" w:lineRule="auto"/>
        <w:jc w:val="both"/>
      </w:pPr>
      <w:r>
        <w:t xml:space="preserve">None of these categories </w:t>
      </w:r>
      <w:proofErr w:type="gramStart"/>
      <w:r>
        <w:t>was</w:t>
      </w:r>
      <w:proofErr w:type="gramEnd"/>
      <w:r>
        <w:t xml:space="preserve"> designed with genuinely novel PoC procurement in mind, and none fits it well. The practical consequence is that agencies seeking to run a PoC must choose between competitive sealed proposals and sole source, each of which introduces characteristic distortions.</w:t>
      </w:r>
    </w:p>
    <w:p w14:paraId="5417EAB3" w14:textId="77777777" w:rsidR="00495A62" w:rsidRDefault="00000000">
      <w:pPr>
        <w:pStyle w:val="Heading3"/>
        <w:spacing w:before="260" w:after="100"/>
      </w:pPr>
      <w:r>
        <w:t>1. The Competitive Sealed Proposal Forced Fit</w:t>
      </w:r>
    </w:p>
    <w:p w14:paraId="3493BB75" w14:textId="77777777" w:rsidR="00495A62" w:rsidRDefault="00000000">
      <w:pPr>
        <w:spacing w:before="120" w:after="120" w:line="280" w:lineRule="auto"/>
        <w:jc w:val="both"/>
      </w:pPr>
      <w:r>
        <w:t xml:space="preserve">Competitive sealed proposals are the </w:t>
      </w:r>
      <w:proofErr w:type="gramStart"/>
      <w:r>
        <w:t>most commonly used</w:t>
      </w:r>
      <w:proofErr w:type="gramEnd"/>
      <w:r>
        <w:t xml:space="preserve"> method for PoC procurements because they offer the most flexibility: they allow evaluation of technical approach, management capability, and risk alongside price, and they permit discussions with offerors before final award. But the CSP mechanism still requires the agency to issue a Request for Proposals that </w:t>
      </w:r>
      <w:proofErr w:type="gramStart"/>
      <w:r>
        <w:t>describes</w:t>
      </w:r>
      <w:proofErr w:type="gramEnd"/>
      <w:r>
        <w:t xml:space="preserve"> the supply, service, or construction item to be procured with sufficient specificity to permit evaluation of proposals on comparable terms.</w:t>
      </w:r>
    </w:p>
    <w:p w14:paraId="228B3698" w14:textId="77777777" w:rsidR="00495A62" w:rsidRDefault="00000000">
      <w:pPr>
        <w:spacing w:before="120" w:after="120" w:line="280" w:lineRule="auto"/>
        <w:jc w:val="both"/>
      </w:pPr>
      <w:r>
        <w:t>For genuinely novel PoC procurement, this requirement is internally contradictory. The agency is seeking to explore a solution space that has not yet been mapped. If it knew enough to specify the procurement with the precision CSP requires, it would not need a PoC. The result is one of two pathologies. Either the agency writes specifications that are deliberately vague, inviting a protest under Section 9-202 that the solicitation fails to provide a clear basis for evaluation; or the agency writes specifications that are artificially precise, encoding assumptions about the solution that the PoC was supposed to test. The second pathology is far more common and far more damaging, because it is invisible: the specification appears compliant on its face while systematically excluding the most innovative approaches.</w:t>
      </w:r>
    </w:p>
    <w:p w14:paraId="51BA3CCF" w14:textId="77777777" w:rsidR="00495A62" w:rsidRDefault="00000000">
      <w:pPr>
        <w:spacing w:before="120" w:after="120" w:line="280" w:lineRule="auto"/>
        <w:jc w:val="both"/>
      </w:pPr>
      <w:r>
        <w:lastRenderedPageBreak/>
        <w:t xml:space="preserve">The LLM AI procurement experience illustrates both pathologies. Agencies that issued open-ended RFPs for "AI language capabilities" received proposals so varied in scope, approach, and price that evaluation was effectively impossible and protests were nearly certain. Agencies that issued more specific RFPs describing </w:t>
      </w:r>
      <w:proofErr w:type="gramStart"/>
      <w:r>
        <w:t>particular model</w:t>
      </w:r>
      <w:proofErr w:type="gramEnd"/>
      <w:r>
        <w:t xml:space="preserve"> architectures or integration patterns attracted only vendors whose offerings matched the assumed approach, excluding the developers whose novel methods ultimately proved most effective. Neither result served the government or the public well.</w:t>
      </w:r>
    </w:p>
    <w:p w14:paraId="70BBB800" w14:textId="77777777" w:rsidR="00495A62" w:rsidRDefault="00000000">
      <w:pPr>
        <w:pStyle w:val="Heading3"/>
        <w:spacing w:before="260" w:after="100"/>
      </w:pPr>
      <w:r>
        <w:t>2. The Solution Bias Problem</w:t>
      </w:r>
    </w:p>
    <w:p w14:paraId="6C8EB9EE" w14:textId="77777777" w:rsidR="00495A62" w:rsidRDefault="00000000">
      <w:pPr>
        <w:spacing w:before="120" w:after="120" w:line="280" w:lineRule="auto"/>
        <w:jc w:val="both"/>
      </w:pPr>
      <w:r>
        <w:t xml:space="preserve">Solution bias is the systematic tendency of procurement specifications to describe means rather than ends, substituting a particular assumed solution for the underlying need the government is </w:t>
      </w:r>
      <w:proofErr w:type="gramStart"/>
      <w:r>
        <w:t>actually trying</w:t>
      </w:r>
      <w:proofErr w:type="gramEnd"/>
      <w:r>
        <w:t xml:space="preserve"> to meet. It is not a product of bad faith. It arises naturally from the way agencies develop requirements: the officials who draft specifications are most familiar with existing approaches; the vendors who participate in pre-solicitation market research have strong incentives to describe the problem in terms that favor their own solutions; and the legal requirement to maximize competition, implemented through the specification standards of Section 4-102, is conventionally satisfied by ensuring that the specification does not favor a particular brand or proprietary item, not by ensuring that the specification does not favor a particular class of solution.</w:t>
      </w:r>
    </w:p>
    <w:p w14:paraId="3A7FC8E3" w14:textId="77777777" w:rsidR="00495A62" w:rsidRDefault="00000000">
      <w:pPr>
        <w:spacing w:before="120" w:after="120" w:line="280" w:lineRule="auto"/>
        <w:jc w:val="both"/>
      </w:pPr>
      <w:r>
        <w:t xml:space="preserve">The practical effect of solution bias on PoC procurement is severe. Consider an agency seeking to reduce energy consumption in its facilities. A specification asking for "proposals for advanced HVAC control systems" will attract HVAC vendors offering incrementally improved controls. A specification asking for "solutions to achieve a thirty percent reduction in facility energy consumption at or below current operating cost" will attract the same HVAC vendors </w:t>
      </w:r>
      <w:proofErr w:type="gramStart"/>
      <w:r>
        <w:t>and also</w:t>
      </w:r>
      <w:proofErr w:type="gramEnd"/>
      <w:r>
        <w:t xml:space="preserve"> passive design consultants, behavioral change specialists, distributed generation providers, and vendors whose approaches do not fit any existing procurement category. The agency has no way of knowing in advance which class of solution will be most effective. A PoC process designed to explore that question should not foreclose the answer before the exploration begins.</w:t>
      </w:r>
    </w:p>
    <w:p w14:paraId="534A75D2" w14:textId="77777777" w:rsidR="00495A62" w:rsidRDefault="00000000">
      <w:pPr>
        <w:spacing w:before="120" w:after="120" w:line="280" w:lineRule="auto"/>
        <w:jc w:val="both"/>
      </w:pPr>
      <w:r>
        <w:t>The LLM AI analogue is direct: an agency that specifies "a large language model capable of responding to citizen inquiries about benefits eligibility" has already made a technology choice before the exploration begins. An agency that specifies "a solution that reduces the average time for a citizen to receive an accurate answer to a benefits eligibility question from fourteen days to one day, at a cost per interaction below the current telephonic baseline" has defined the problem without prescribing the solution, and may discover that an LLM, a redesigned self-service portal, a retrained human workforce, or some combination of all three best meets the need.</w:t>
      </w:r>
    </w:p>
    <w:p w14:paraId="6A96CC75" w14:textId="77777777" w:rsidR="00495A62" w:rsidRDefault="00000000">
      <w:pPr>
        <w:pStyle w:val="Heading3"/>
        <w:spacing w:before="260" w:after="100"/>
      </w:pPr>
      <w:r>
        <w:t>3. The Sole Source Trap</w:t>
      </w:r>
    </w:p>
    <w:p w14:paraId="362E962C" w14:textId="77777777" w:rsidR="00495A62" w:rsidRDefault="00000000">
      <w:pPr>
        <w:spacing w:before="120" w:after="120" w:line="280" w:lineRule="auto"/>
        <w:jc w:val="both"/>
      </w:pPr>
      <w:r>
        <w:lastRenderedPageBreak/>
        <w:t>Some agencies respond to the CSP forced-fit problem by using sole source authority for PoC procurement, reasoning that a technology genuinely new to everyone has, by definition, no established market and therefore satisfies the Section 3-205 requirement of a single available source. This reasoning is legally questionable and practically counterproductive.</w:t>
      </w:r>
    </w:p>
    <w:p w14:paraId="3443DE84" w14:textId="77777777" w:rsidR="00495A62" w:rsidRDefault="00000000">
      <w:pPr>
        <w:spacing w:before="120" w:after="120" w:line="280" w:lineRule="auto"/>
        <w:jc w:val="both"/>
      </w:pPr>
      <w:r>
        <w:t xml:space="preserve">It is legally questionable because Section 3-205 is designed for procurement of a defined item from a vendor who uniquely provides it, not for exploration of an undefined solution space. A technology genuinely new to everyone typically has multiple potential developers, even if </w:t>
      </w:r>
      <w:proofErr w:type="gramStart"/>
      <w:r>
        <w:t>none</w:t>
      </w:r>
      <w:proofErr w:type="gramEnd"/>
      <w:r>
        <w:t xml:space="preserve"> has yet produced a deployable product. Awarding sole source authority to one of them based on novelty alone is difficult to defend against a protest by a competing developer who can plausibly claim equivalent capability.</w:t>
      </w:r>
    </w:p>
    <w:p w14:paraId="2ABC4133" w14:textId="77777777" w:rsidR="00495A62" w:rsidRDefault="00000000">
      <w:pPr>
        <w:spacing w:before="120" w:after="120" w:line="280" w:lineRule="auto"/>
        <w:jc w:val="both"/>
      </w:pPr>
      <w:r>
        <w:t xml:space="preserve">It is practically counterproductive because sole source awards for PoC work create vendor lock-in before the government has learned anything. If the sole source vendor's approach fails, the government has no competitive alternatives and no documented basis for redirecting the work. If it succeeds, the government finds itself in a follow-on negotiation with a vendor who has no competition and knows it. The LLM AI procurements that produced the worst outcomes were predominantly sole source awards made on urgency or </w:t>
      </w:r>
      <w:proofErr w:type="gramStart"/>
      <w:r>
        <w:t>uniqueness</w:t>
      </w:r>
      <w:proofErr w:type="gramEnd"/>
      <w:r>
        <w:t xml:space="preserve"> grounds before the solution space had been adequately explored.</w:t>
      </w:r>
    </w:p>
    <w:p w14:paraId="131E13CD" w14:textId="77777777" w:rsidR="00495A62" w:rsidRDefault="00000000">
      <w:pPr>
        <w:pStyle w:val="Heading2"/>
        <w:spacing w:before="360" w:after="140"/>
      </w:pPr>
      <w:r>
        <w:t xml:space="preserve">B. Why "New to Everyone" Requires </w:t>
      </w:r>
      <w:proofErr w:type="gramStart"/>
      <w:r>
        <w:t>a Different</w:t>
      </w:r>
      <w:proofErr w:type="gramEnd"/>
      <w:r>
        <w:t xml:space="preserve"> Legal Architecture</w:t>
      </w:r>
    </w:p>
    <w:p w14:paraId="03EA63E3" w14:textId="77777777" w:rsidR="00495A62" w:rsidRDefault="00000000">
      <w:pPr>
        <w:spacing w:before="120" w:after="120" w:line="280" w:lineRule="auto"/>
        <w:jc w:val="both"/>
      </w:pPr>
      <w:r>
        <w:t>The distinction between a technology that is new to the procuring government and a technology that is new to everyone is legally and practically significant, and the MPC's current framework does not recognize it.</w:t>
      </w:r>
    </w:p>
    <w:p w14:paraId="5206A8B9" w14:textId="77777777" w:rsidR="00495A62" w:rsidRDefault="00000000">
      <w:pPr>
        <w:spacing w:before="120" w:after="120" w:line="280" w:lineRule="auto"/>
        <w:jc w:val="both"/>
      </w:pPr>
      <w:proofErr w:type="gramStart"/>
      <w:r>
        <w:t>A technology</w:t>
      </w:r>
      <w:proofErr w:type="gramEnd"/>
      <w:r>
        <w:t xml:space="preserve"> that is new to the government but commercially available presents a specification challenge: the agency must learn enough about the market to write a specification that captures what it needs without inadvertently favoring incumbents or familiar approaches. This is a solvable problem within the existing MPC framework, using market research, industry days, requests for information, and performance-based specifications. The solution space is known; the agency's task is to access it effectively.</w:t>
      </w:r>
    </w:p>
    <w:p w14:paraId="64838FF4" w14:textId="77777777" w:rsidR="00495A62" w:rsidRDefault="00000000">
      <w:pPr>
        <w:spacing w:before="120" w:after="120" w:line="280" w:lineRule="auto"/>
        <w:jc w:val="both"/>
      </w:pPr>
      <w:proofErr w:type="gramStart"/>
      <w:r>
        <w:t>A technology</w:t>
      </w:r>
      <w:proofErr w:type="gramEnd"/>
      <w:r>
        <w:t xml:space="preserve"> that is new to everyone presents a fundamentally different challenge. The solution space has not been explored. No vendor can propose a proven approach because no proven approach exists. The government cannot evaluate proposals against a performance baseline because no baseline has been established. Risk cannot be priced because it has not been characterized. In this environment, the standard competitive procurement cycle, which requires the agency to know what it wants before it asks for it, is not merely inconvenient. It is structurally incapable of producing the information the agency needs to make a rational procurement decision.</w:t>
      </w:r>
    </w:p>
    <w:p w14:paraId="2636802C" w14:textId="77777777" w:rsidR="00495A62" w:rsidRDefault="00000000">
      <w:pPr>
        <w:spacing w:before="120" w:after="120" w:line="280" w:lineRule="auto"/>
        <w:jc w:val="both"/>
      </w:pPr>
      <w:r>
        <w:lastRenderedPageBreak/>
        <w:t>What is needed instead is a structured process for generating that information: a set of procedures that authorizes and manages competitive exploration of an unknown solution space, produces reliable evidence about which approaches are promising, maintains competition throughout the exploratory process, and creates a legally defensible record at each decision point. This is what Article 3B is designed to provide.</w:t>
      </w:r>
    </w:p>
    <w:p w14:paraId="13DFED7B" w14:textId="77777777" w:rsidR="00495A62" w:rsidRDefault="00000000">
      <w:pPr>
        <w:pStyle w:val="Heading2"/>
        <w:spacing w:before="360" w:after="140"/>
      </w:pPr>
      <w:r>
        <w:t>C. The Minimum Viable Product as Analytical Bridge</w:t>
      </w:r>
    </w:p>
    <w:p w14:paraId="10A644D4" w14:textId="77777777" w:rsidR="00495A62" w:rsidRDefault="00000000">
      <w:pPr>
        <w:spacing w:before="120" w:after="120" w:line="280" w:lineRule="auto"/>
        <w:jc w:val="both"/>
      </w:pPr>
      <w:r>
        <w:t>The concept of the minimum viable product performs essential analytical work in the PoC procurement framework that existing procurement doctrine does not provide. Without it, the framework has a structural gap: a successful PoC proves that an approach is feasible, but it does not define what the government should procure next. The MVP concept fills that gap by naming the intermediate artifact that connects exploratory work to production procurement.</w:t>
      </w:r>
    </w:p>
    <w:p w14:paraId="55AB34E2" w14:textId="77777777" w:rsidR="00495A62" w:rsidRDefault="00000000">
      <w:pPr>
        <w:spacing w:before="120" w:after="120" w:line="280" w:lineRule="auto"/>
        <w:jc w:val="both"/>
      </w:pPr>
      <w:r>
        <w:t>A minimum viable product, in this context, is the simplest version of a solution that meets the government's stated functional need with sufficient reliability to justify transition to production procurement. It is neither a PoC artifact, which demonstrates feasibility under controlled conditions, nor a production system, which delivers the full capability at operational scale. It is the output of Phase 3 piloting under Article 3B: a working implementation, tested against real or near-real conditions, that has produced enough evidence about performance, cost, and risk to permit the government to specify a production procurement with precision and confidence.</w:t>
      </w:r>
    </w:p>
    <w:p w14:paraId="2418A0F6" w14:textId="77777777" w:rsidR="00495A62" w:rsidRDefault="00000000">
      <w:pPr>
        <w:spacing w:before="120" w:after="120" w:line="280" w:lineRule="auto"/>
        <w:jc w:val="both"/>
      </w:pPr>
      <w:r>
        <w:t>The MVP concept has three specific implications for the Article 3B framework. First, it provides a legally precise triggering condition for the transition to production: the government is ready to procure when it has a documented MVP, not merely when the PoC has "succeeded" in some undefined sense. Second, the MVP produced during Phase 3 becomes the functional baseline against which the production procurement is specified, directly solving the specification problem at the production stage. Third, the MVP is the first artifact that may appropriately be tested against live systems under controlled conditions, making Phase 3 live-system authorization the natural MVP validation gate and connecting the operational risk framework of Section E to the phased process structure of Article 3B.</w:t>
      </w:r>
    </w:p>
    <w:p w14:paraId="5FE3D58E" w14:textId="77777777" w:rsidR="00495A62" w:rsidRDefault="00000000">
      <w:pPr>
        <w:spacing w:before="120" w:after="120" w:line="280" w:lineRule="auto"/>
        <w:jc w:val="both"/>
      </w:pPr>
      <w:r>
        <w:t xml:space="preserve">Returning to the LLM AI example: a government agency exploring LLM-based citizen services would complete Phase 1 by documenting competing conceptual approaches to meeting the defined functional need, Phase 2 by building and testing working prototypes in sandboxed environments against representative but non-production data, and Phase 3 by deploying the most promising two or three prototypes in controlled live environments with real citizens and real data under specific safeguards. The artifact that emerges from Phase 3, the version that demonstrably meets the functional need at acceptable cost and </w:t>
      </w:r>
      <w:r>
        <w:lastRenderedPageBreak/>
        <w:t>risk under real conditions, is the MVP. It becomes the specification for production procurement. The government now knows what it is buying, and it knows this from evidence rather than assertion.</w:t>
      </w:r>
    </w:p>
    <w:p w14:paraId="4284A0C5" w14:textId="77777777" w:rsidR="00495A62" w:rsidRDefault="00000000">
      <w:pPr>
        <w:pStyle w:val="Heading2"/>
        <w:spacing w:before="360" w:after="140"/>
      </w:pPr>
      <w:r>
        <w:t>D. The Fiduciary Dimension of Government PoC Procurement</w:t>
      </w:r>
    </w:p>
    <w:p w14:paraId="75188CE4" w14:textId="77777777" w:rsidR="00495A62" w:rsidRDefault="00000000">
      <w:pPr>
        <w:spacing w:before="120" w:after="120" w:line="280" w:lineRule="auto"/>
        <w:jc w:val="both"/>
      </w:pPr>
      <w:r>
        <w:t>Standard procurement law treats government as a sophisticated commercial buyer with public accountability obligations layered on top. That framing is adequate for most procurement contexts, where the government is purchasing a well-defined good or service whose risks fall primarily on the government itself. It is not adequate for PoC procurement of technologies that involve citizen data, citizen-facing services, or infrastructure that citizens depend on for the exercise of civic rights and the receipt of government benefits.</w:t>
      </w:r>
    </w:p>
    <w:p w14:paraId="49E1F32D" w14:textId="77777777" w:rsidR="00495A62" w:rsidRDefault="00000000">
      <w:pPr>
        <w:spacing w:before="120" w:after="120" w:line="280" w:lineRule="auto"/>
        <w:jc w:val="both"/>
      </w:pPr>
      <w:r>
        <w:t xml:space="preserve">When government procures novel technology in these domains, it is not merely a buyer spending public money. It is a trustee whose institutional obligations run not to itself but to the citizens whose data, services, and institutional trust are implicated in the procurement. This obligation is not created by Article 3B; it is a pre-existing feature of the constitutional and common law relationship between government and citizen, grounded in the structural fact that citizens cannot meaningfully </w:t>
      </w:r>
      <w:proofErr w:type="gramStart"/>
      <w:r>
        <w:t>consent to</w:t>
      </w:r>
      <w:proofErr w:type="gramEnd"/>
      <w:r>
        <w:t xml:space="preserve"> or withdraw from their relationship with government the way a commercial counterparty can withdraw from a transaction. The government holds citizen data, manages citizen services, and administers civic infrastructure as a matter of legal compulsion on the citizen's part. That compulsion is the source of the trustee's obligation.</w:t>
      </w:r>
    </w:p>
    <w:p w14:paraId="7C3AD1FF" w14:textId="77777777" w:rsidR="00495A62" w:rsidRDefault="00000000">
      <w:pPr>
        <w:spacing w:before="120" w:after="120" w:line="280" w:lineRule="auto"/>
        <w:jc w:val="both"/>
      </w:pPr>
      <w:r>
        <w:t xml:space="preserve">The Fiduciary Commons framework, which proposes constitutional architecture for government stewardship of citizen data and civic information systems, articulates this obligation with </w:t>
      </w:r>
      <w:proofErr w:type="gramStart"/>
      <w:r>
        <w:t>particular clarity</w:t>
      </w:r>
      <w:proofErr w:type="gramEnd"/>
      <w:r>
        <w:t xml:space="preserve"> in the technology procurement context. Its core proposition is that the constitutional obligation already exists and that government is in breach of it when it treats citizen data as a procurement asset to be traded, licensed, or exposed to vendor access without the specific </w:t>
      </w:r>
      <w:proofErr w:type="gramStart"/>
      <w:r>
        <w:t>protections</w:t>
      </w:r>
      <w:proofErr w:type="gramEnd"/>
      <w:r>
        <w:t xml:space="preserve"> that a trustee relationship requires. Article 3B does not attempt to codify the full Fiduciary Commons framework, which addresses matters well beyond the scope of a procurement code. Instead, it operationalizes the fiduciary obligation through three specific procedural requirements whose combined effect is to ensure that the trustee's duty of care, duty of loyalty, and duty of disclosure to citizen-beneficiaries are honored in the design and execution of every PoC procurement that implicates their interests.</w:t>
      </w:r>
    </w:p>
    <w:p w14:paraId="77971CDE" w14:textId="77777777" w:rsidR="00495A62" w:rsidRDefault="00000000">
      <w:pPr>
        <w:spacing w:before="120" w:after="120" w:line="280" w:lineRule="auto"/>
        <w:jc w:val="both"/>
      </w:pPr>
      <w:r>
        <w:t xml:space="preserve">The duty of care is expressed through the citizen impact assessment required as part of the PoC authorization finding. Before a PoC involving citizen data or citizen-facing services may be authorized, the procurement officer must document the nature and scope </w:t>
      </w:r>
      <w:r>
        <w:lastRenderedPageBreak/>
        <w:t>of citizen interests implicated, the risks to those interests if the PoC fails or is misused, and the specific measures in place to protect those interests throughout the procurement.</w:t>
      </w:r>
    </w:p>
    <w:p w14:paraId="7B3B6CF4" w14:textId="77777777" w:rsidR="00495A62" w:rsidRDefault="00000000">
      <w:pPr>
        <w:spacing w:before="120" w:after="120" w:line="280" w:lineRule="auto"/>
        <w:jc w:val="both"/>
      </w:pPr>
      <w:r>
        <w:t>The duty of loyalty is expressed through the citizen data carve-out in the intellectual property framework. Notwithstanding any other provision governing intellectual property rights in Article 3B, data pertaining to identifiable citizens generated or processed during a PoC procurement remains the exclusive property of the procuring government, may not be retained, used, or commercialized by any vendor or subcontractor beyond the scope of the PoC contract, and must be returned or destroyed at contract completion in accordance with the government's existing data retention obligations. The reference to subcontractors here is deliberate and connects directly to the flow-down liability framework discussed in Section F: the citizen data protection obligation must reach every entity in the contracting chain that touches citizen data, not merely the prime contractor.</w:t>
      </w:r>
    </w:p>
    <w:p w14:paraId="31CFB3AB" w14:textId="77777777" w:rsidR="00495A62" w:rsidRDefault="00000000">
      <w:pPr>
        <w:spacing w:before="120" w:after="120" w:line="280" w:lineRule="auto"/>
        <w:jc w:val="both"/>
      </w:pPr>
      <w:r>
        <w:t>The duty of disclosure is expressed through the service continuity and notification requirement in the safeguards section. A PoC operating on or proximate to live citizen-facing systems must include a documented service continuity plan, and citizens dependent on affected services must be notified of the PoC and any potential service impacts before Phase 3 live-system testing begins.</w:t>
      </w:r>
    </w:p>
    <w:p w14:paraId="082C77AC" w14:textId="77777777" w:rsidR="00495A62" w:rsidRDefault="00000000">
      <w:pPr>
        <w:spacing w:before="120" w:after="120" w:line="280" w:lineRule="auto"/>
        <w:jc w:val="both"/>
      </w:pPr>
      <w:r>
        <w:t>These three requirements are the minimum procedural expression of a substantive obligation that extends well beyond the procurement code. The Official Comment to Section 3B-101 develops the underlying analysis in full. For purposes of this Part, it is sufficient to note that the fiduciary dimension of PoC procurement is not an add-on consideration to be addressed after the procurement framework is designed; it is a structural constraint that shapes the framework from the outset.</w:t>
      </w:r>
    </w:p>
    <w:p w14:paraId="2CF7BF14" w14:textId="77777777" w:rsidR="00495A62" w:rsidRDefault="00000000">
      <w:pPr>
        <w:pStyle w:val="Heading2"/>
        <w:spacing w:before="360" w:after="140"/>
      </w:pPr>
      <w:r>
        <w:t>E. Live Systems, Sandboxed Systems, and Operational Risk</w:t>
      </w:r>
    </w:p>
    <w:p w14:paraId="376A2195" w14:textId="77777777" w:rsidR="00495A62" w:rsidRDefault="00000000">
      <w:pPr>
        <w:spacing w:before="120" w:after="120" w:line="280" w:lineRule="auto"/>
        <w:jc w:val="both"/>
      </w:pPr>
      <w:r>
        <w:t>The question of whether a PoC operates against live production systems or in an isolated environment is not merely a technical implementation choice. It is a legally and operationally significant determination that controls the entire risk profile of the procurement, implicates the government's fiduciary obligations to citizens, and must be made explicitly, documented in the administrative record, and governed by clear procedural requirements before the PoC begins.</w:t>
      </w:r>
    </w:p>
    <w:p w14:paraId="7D971742" w14:textId="77777777" w:rsidR="00495A62" w:rsidRDefault="00000000">
      <w:pPr>
        <w:spacing w:before="120" w:after="120" w:line="280" w:lineRule="auto"/>
        <w:jc w:val="both"/>
      </w:pPr>
      <w:r>
        <w:t>The risks associated with live system PoC work fall into four distinct categories, each requiring separate treatment in the procurement framework.</w:t>
      </w:r>
    </w:p>
    <w:p w14:paraId="28643FC8" w14:textId="77777777" w:rsidR="00495A62" w:rsidRDefault="00000000">
      <w:pPr>
        <w:spacing w:before="120" w:after="120" w:line="280" w:lineRule="auto"/>
        <w:jc w:val="both"/>
      </w:pPr>
      <w:r>
        <w:t xml:space="preserve">Data integrity and corruption risk arises when a PoC operating against live systems modifies, overwrites, or contaminates production data in ways that cannot be reliably reversed. For government systems, corrupted data may affect benefits determinations, voter registration records, tax accounts, licensing files, or public safety databases. The </w:t>
      </w:r>
      <w:r>
        <w:lastRenderedPageBreak/>
        <w:t>harm to individual citizens from corrupted government records can be severe, long-lasting, and difficult to remedy through ordinary legal processes. The procurement framework must treat this risk as categorically different from ordinary contract performance risk, because its consequences fall on citizens who are not parties to the procurement contract.</w:t>
      </w:r>
    </w:p>
    <w:p w14:paraId="28EF986D" w14:textId="77777777" w:rsidR="00495A62" w:rsidRDefault="00000000">
      <w:pPr>
        <w:spacing w:before="120" w:after="120" w:line="280" w:lineRule="auto"/>
        <w:jc w:val="both"/>
      </w:pPr>
      <w:r>
        <w:t>Security breach risk arises when a PoC vendor given access to live systems, even with contractual restrictions, expands the government's attack surface. Novel technologies being tested may have unknown security properties that sandboxed evaluation is specifically designed to assess before live exposure. A security breach occurring during a PoC is not merely a contract failure; it may constitute a breach of the government's independent obligations under state data protection law and may trigger notification requirements, regulatory consequences, and liability that the procurement contract cannot address or limit.</w:t>
      </w:r>
    </w:p>
    <w:p w14:paraId="0AB74CFE" w14:textId="77777777" w:rsidR="00495A62" w:rsidRDefault="00000000">
      <w:pPr>
        <w:spacing w:before="120" w:after="120" w:line="280" w:lineRule="auto"/>
        <w:jc w:val="both"/>
      </w:pPr>
      <w:r>
        <w:t>Service continuity risk arises when PoC work degrades or interrupts services that citizens depend on. Government services differ from commercial services in a legally relevant way: citizens often have no alternative provider and no meaningful ability to opt out. An interruption in a benefits payment system, a court filing system, or an emergency services dispatch platform caused by PoC work is not an ordinary service disruption. It is a failure of the government's independent obligation to maintain the services for which it was established.</w:t>
      </w:r>
    </w:p>
    <w:p w14:paraId="35115303" w14:textId="77777777" w:rsidR="00495A62" w:rsidRDefault="00000000">
      <w:pPr>
        <w:spacing w:before="120" w:after="120" w:line="280" w:lineRule="auto"/>
        <w:jc w:val="both"/>
      </w:pPr>
      <w:r>
        <w:t xml:space="preserve">Legal liability risk arises from the interaction of the preceding three categories. When PoC work causes harm to a citizen through data corruption, security breach, or service interruption, the allocation of liability between the government and the vendor in their contract does not determine the government's liability to the citizen. The government's independent tort, constitutional, and statutory obligations to citizens may create liability that contractual indemnification provisions cannot eliminate. The procurement framework must address this not by attempting to limit government liability to citizens, which would be both inappropriate and likely unenforceable, but by requiring </w:t>
      </w:r>
      <w:proofErr w:type="gramStart"/>
      <w:r>
        <w:t>the risk</w:t>
      </w:r>
      <w:proofErr w:type="gramEnd"/>
      <w:r>
        <w:t xml:space="preserve"> management measures that make harm to citizens unlikely to occur.</w:t>
      </w:r>
    </w:p>
    <w:p w14:paraId="74AA7068" w14:textId="77777777" w:rsidR="00495A62" w:rsidRDefault="00000000">
      <w:pPr>
        <w:spacing w:before="120" w:after="120" w:line="280" w:lineRule="auto"/>
        <w:jc w:val="both"/>
      </w:pPr>
      <w:proofErr w:type="gramStart"/>
      <w:r>
        <w:t>The Article</w:t>
      </w:r>
      <w:proofErr w:type="gramEnd"/>
      <w:r>
        <w:t xml:space="preserve"> 3B framework addresses these risks through a tiered system access model calibrated to the phased process structure. Phase 1 solution design work and Phase 2 prototyping must be conducted in sandboxed environments using representative but non-</w:t>
      </w:r>
      <w:proofErr w:type="gramStart"/>
      <w:r>
        <w:t>production</w:t>
      </w:r>
      <w:proofErr w:type="gramEnd"/>
      <w:r>
        <w:t xml:space="preserve"> data by default, with live system access in these phases requiring written justification and additional safeguards. Phase 3 piloting may involve live system access under specific conditions: a documented security assessment, a service continuity plan, prior citizen notification where service impacts are possible, and specific contractual provisions, including flow-down clauses applicable to all subcontractors, addressing data integrity, breach notification, and liability allocation. The tiered model reflects the </w:t>
      </w:r>
      <w:r>
        <w:lastRenderedPageBreak/>
        <w:t>convergence of the MVP concept and the fiduciary analysis: Phase 3 is where the MVP is validated against real conditions, and it is also where the government's fiduciary obligations to citizens are most directly engaged.</w:t>
      </w:r>
    </w:p>
    <w:p w14:paraId="49A72936" w14:textId="77777777" w:rsidR="00495A62" w:rsidRDefault="00000000">
      <w:pPr>
        <w:pStyle w:val="Heading2"/>
        <w:spacing w:before="360" w:after="140"/>
      </w:pPr>
      <w:r>
        <w:t>F. Contract Management, Subcontractor Risk, and Flow-Down Liability</w:t>
      </w:r>
    </w:p>
    <w:p w14:paraId="2CE4D7F5" w14:textId="77777777" w:rsidR="00495A62" w:rsidRDefault="00000000">
      <w:pPr>
        <w:spacing w:before="120" w:after="120" w:line="280" w:lineRule="auto"/>
        <w:jc w:val="both"/>
      </w:pPr>
      <w:r>
        <w:t>The procurement framework governs how governments select vendors and structure PoC contracts. Contract management governs what happens after those contracts are awarded, through the full arc of Phase 1 solution design, Phase 2 prototyping, Phase 3 piloting, and ultimately MVP validation and production transition. In genuinely novel technology procurement, the contract management challenge is as significant as the procurement design challenge, and the existing MPC framework is as silent on the former as it is inadequate on the latter.</w:t>
      </w:r>
    </w:p>
    <w:p w14:paraId="623D9596" w14:textId="77777777" w:rsidR="00495A62" w:rsidRDefault="00000000">
      <w:pPr>
        <w:spacing w:before="120" w:after="120" w:line="280" w:lineRule="auto"/>
        <w:jc w:val="both"/>
      </w:pPr>
      <w:r>
        <w:t>The core contract management problem in complex PoC work is the mismatch between formal accountability and actual expertise. The prime contractor bears full legal responsibility for all work performed under the PoC contract, including the work of its subcontractors. But in genuinely novel technology procurement, the prime is typically a systems integrator or program manager whose comparative advantage is organizational, contractual, and administrative rather than deeply technical in every relevant domain. The actual expertise sits with subcontractors: the machine learning engineers, the security architects, the data scientists, the domain specialists whose work either succeeds or fails at the technical level. The prime may lack the technical depth to meaningfully supervise their work, detect their failures early, or even recognize what material breach looks like in a subdiscipline it does not itself practice.</w:t>
      </w:r>
    </w:p>
    <w:p w14:paraId="6FA0958C" w14:textId="77777777" w:rsidR="00495A62" w:rsidRDefault="00000000">
      <w:pPr>
        <w:spacing w:before="120" w:after="120" w:line="280" w:lineRule="auto"/>
        <w:jc w:val="both"/>
      </w:pPr>
      <w:r>
        <w:t xml:space="preserve">The government is doubly removed from the source of risk. It contracted with the prime because it lacked the technical expertise to manage the work directly. The </w:t>
      </w:r>
      <w:proofErr w:type="gramStart"/>
      <w:r>
        <w:t>prime</w:t>
      </w:r>
      <w:proofErr w:type="gramEnd"/>
      <w:r>
        <w:t xml:space="preserve"> manages the subcontractors to the extent its own expertise permits. The subcontractors perform the work whose quality the government most needs to assure and least has the capacity to independently verify. The conventional procurement contract structure, which places the government's legal relationship exclusively at the prime level, is upside down relative to where the actual risk lives.</w:t>
      </w:r>
    </w:p>
    <w:p w14:paraId="7E9617F0" w14:textId="77777777" w:rsidR="00495A62" w:rsidRDefault="00000000">
      <w:pPr>
        <w:pStyle w:val="Heading3"/>
        <w:spacing w:before="260" w:after="100"/>
      </w:pPr>
      <w:r>
        <w:t>1. The Limits of Prime Contractor Responsibility</w:t>
      </w:r>
    </w:p>
    <w:p w14:paraId="5F214A98" w14:textId="77777777" w:rsidR="00495A62" w:rsidRDefault="00000000">
      <w:pPr>
        <w:spacing w:before="120" w:after="120" w:line="280" w:lineRule="auto"/>
        <w:jc w:val="both"/>
      </w:pPr>
      <w:r>
        <w:t xml:space="preserve">The conventional response to this problem is to require the prime to include robust subcontractor oversight provisions in its subcontracts and to hold the prime fully accountable for subcontractor failures through its primary contract with the government. This approach is adequate when three conditions are met: the prime has genuine technical supervisory capacity over the subcontractors' work; the harm from subcontractor failure is primarily financial and can be remedied through the prime's </w:t>
      </w:r>
      <w:r>
        <w:lastRenderedPageBreak/>
        <w:t xml:space="preserve">indemnification obligation; and the government has sufficient technical capacity to detect subcontractor failures through its contract administration relationship with the prime. In genuinely novel PoC procurement, none of these conditions </w:t>
      </w:r>
      <w:proofErr w:type="gramStart"/>
      <w:r>
        <w:t>is</w:t>
      </w:r>
      <w:proofErr w:type="gramEnd"/>
      <w:r>
        <w:t xml:space="preserve"> reliably present.</w:t>
      </w:r>
    </w:p>
    <w:p w14:paraId="1B37A587" w14:textId="77777777" w:rsidR="00495A62" w:rsidRDefault="00000000">
      <w:pPr>
        <w:spacing w:before="120" w:after="120" w:line="280" w:lineRule="auto"/>
        <w:jc w:val="both"/>
      </w:pPr>
      <w:r>
        <w:t>The prime may lack the technical capacity to supervise specialized subcontractor work in domains it does not practice. The harm from subcontractor failure in PoC work involving citizen data or live systems is not merely financial; it includes data corruption, security breach, service interruption, and the fiduciary consequences to citizens that no indemnification provision can fully remedy. And the government, which contracted with the prime precisely because it lacked direct technical expertise, is poorly positioned to detect subcontractor failures through the filter of the prime's contract administration reports.</w:t>
      </w:r>
    </w:p>
    <w:p w14:paraId="40D5ECA2" w14:textId="77777777" w:rsidR="00495A62" w:rsidRDefault="00000000">
      <w:pPr>
        <w:pStyle w:val="Heading3"/>
        <w:spacing w:before="260" w:after="100"/>
      </w:pPr>
      <w:r>
        <w:t>2. The Flow-Down Clause Approach to Direct Accountability</w:t>
      </w:r>
    </w:p>
    <w:p w14:paraId="69E3CC5B" w14:textId="77777777" w:rsidR="00495A62" w:rsidRDefault="00000000">
      <w:pPr>
        <w:spacing w:before="120" w:after="120" w:line="280" w:lineRule="auto"/>
        <w:jc w:val="both"/>
      </w:pPr>
      <w:r>
        <w:t xml:space="preserve">This paper recommends addressing the subcontractor accountability gap through mandatory flow-down clauses rather than through statutory extension of privity between the government and subcontractors. Extending privity by statute would require every subcontractor to bear the full range of government contract obligations, including </w:t>
      </w:r>
      <w:proofErr w:type="gramStart"/>
      <w:r>
        <w:t>procurement</w:t>
      </w:r>
      <w:proofErr w:type="gramEnd"/>
      <w:r>
        <w:t xml:space="preserve"> integrity requirements, protest exposure, and administrative law compliance, that are calibrated for prime contractor relationships and would create unmanageable complexity and liability exposure for specialized subcontractors whose participation is essential to genuinely novel PoC work. The flow-down approach achieves direct accountability for defined categories of harm without imposing the full burden of a direct government contract relationship.</w:t>
      </w:r>
    </w:p>
    <w:p w14:paraId="6323A02A" w14:textId="77777777" w:rsidR="00495A62" w:rsidRDefault="00000000">
      <w:pPr>
        <w:spacing w:before="120" w:after="120" w:line="280" w:lineRule="auto"/>
        <w:jc w:val="both"/>
      </w:pPr>
      <w:r>
        <w:t xml:space="preserve">Under the proposed framework, Article 3B requires that every PoC contract </w:t>
      </w:r>
      <w:proofErr w:type="gramStart"/>
      <w:r>
        <w:t>include</w:t>
      </w:r>
      <w:proofErr w:type="gramEnd"/>
      <w:r>
        <w:t xml:space="preserve"> mandatory flow-down clauses, drafted to name the government as an express third-party beneficiary, covering three specific categories of subcontractor obligation. First, data protection and security obligations: every subcontractor that touches citizen data or has access to government systems must be contractually bound, directly to the government as a named beneficiary, to the same data handling, security assessment, breach notification, and data return or destruction obligations that the prime bears. This implements the citizen data protection dimension of the fiduciary framework at every level of the contracting chain where citizen data is </w:t>
      </w:r>
      <w:proofErr w:type="gramStart"/>
      <w:r>
        <w:t>actually handled</w:t>
      </w:r>
      <w:proofErr w:type="gramEnd"/>
      <w:r>
        <w:t>, rather than only at the prime level where the data protection obligation may be formally present but practically unenforceable.</w:t>
      </w:r>
    </w:p>
    <w:p w14:paraId="68C454AE" w14:textId="77777777" w:rsidR="00495A62" w:rsidRDefault="00000000">
      <w:pPr>
        <w:spacing w:before="120" w:after="120" w:line="280" w:lineRule="auto"/>
        <w:jc w:val="both"/>
      </w:pPr>
      <w:r>
        <w:t xml:space="preserve">Second, material breach and gross negligence liability: every subcontractor performing core technical work under a PoC contract, defined in the flow-down clause as work whose failure could cause data corruption, security breach, service interruption, or material deviation from the PoC's defined learning objectives, must be contractually bound to the government as a named third-party beneficiary for direct liability in the event of material </w:t>
      </w:r>
      <w:r>
        <w:lastRenderedPageBreak/>
        <w:t xml:space="preserve">breach or gross negligence. The government's right of direct action against a subcontractor under this clause is independent of, and does not require, the </w:t>
      </w:r>
      <w:proofErr w:type="gramStart"/>
      <w:r>
        <w:t>prime's</w:t>
      </w:r>
      <w:proofErr w:type="gramEnd"/>
      <w:r>
        <w:t xml:space="preserve"> prior exercise of its contractual rights against the subcontractor. This ensures that the government has a legal basis for immediate action against the responsible entity when subcontractor failure causes harm, without being dependent on the prime's willingness or financial capacity to pursue the claim.</w:t>
      </w:r>
    </w:p>
    <w:p w14:paraId="4EF186DA" w14:textId="77777777" w:rsidR="00495A62" w:rsidRDefault="00000000">
      <w:pPr>
        <w:spacing w:before="120" w:after="120" w:line="280" w:lineRule="auto"/>
        <w:jc w:val="both"/>
      </w:pPr>
      <w:r>
        <w:t xml:space="preserve">Third, material misrepresentation of qualifications or capabilities: every subcontractor must be contractually bound to the government as a named third-party beneficiary for direct liability in the event of knowing misrepresentation of its technical qualifications, security posture, or performance capabilities in connection with the PoC procurement or performance. In genuinely novel technology procurement, where the government cannot independently verify technical claims and must rely on vendor representations as a practical matter, direct liability for fraudulent misrepresentation provides a deterrent that the prime-only liability structure does not. A subcontractor that knowingly misrepresents its AI model validation capabilities, its security certifications, or its data handling practices bears consequences independent of whether the </w:t>
      </w:r>
      <w:proofErr w:type="gramStart"/>
      <w:r>
        <w:t>prime</w:t>
      </w:r>
      <w:proofErr w:type="gramEnd"/>
      <w:r>
        <w:t xml:space="preserve"> chooses to pursue its contractual remedies.</w:t>
      </w:r>
    </w:p>
    <w:p w14:paraId="22CF4BC3" w14:textId="77777777" w:rsidR="00495A62" w:rsidRDefault="00000000">
      <w:pPr>
        <w:pStyle w:val="Heading3"/>
        <w:spacing w:before="260" w:after="100"/>
      </w:pPr>
      <w:r>
        <w:t>3. Contract Management Infrastructure for Novel PoC Work</w:t>
      </w:r>
    </w:p>
    <w:p w14:paraId="059A4745" w14:textId="77777777" w:rsidR="00495A62" w:rsidRDefault="00000000">
      <w:pPr>
        <w:spacing w:before="120" w:after="120" w:line="280" w:lineRule="auto"/>
        <w:jc w:val="both"/>
      </w:pPr>
      <w:r>
        <w:t>Flow-down clauses address the liability structure of subcontractor relationships but do not by themselves solve the contract management problem of how the government detects and responds to subcontractor performance failures in real time. Three additional contract management mechanisms are recommended for incorporation into Article 3B's process provisions.</w:t>
      </w:r>
    </w:p>
    <w:p w14:paraId="0AACC3DD" w14:textId="77777777" w:rsidR="00495A62" w:rsidRDefault="00000000">
      <w:pPr>
        <w:spacing w:before="120" w:after="120" w:line="280" w:lineRule="auto"/>
        <w:jc w:val="both"/>
      </w:pPr>
      <w:r>
        <w:t xml:space="preserve">The first is the independent technical monitor, modeled on the construction industry's owner's representative. For Phase 3 PoC work involving live system access or citizen data, Article 3B requires that the government designate or procure an independent technical monitor with demonstrated expertise in the relevant technical domain. The monitor's role is to provide the government with an expert technical perspective on PoC performance that does not depend on the </w:t>
      </w:r>
      <w:proofErr w:type="gramStart"/>
      <w:r>
        <w:t>prime's</w:t>
      </w:r>
      <w:proofErr w:type="gramEnd"/>
      <w:r>
        <w:t xml:space="preserve"> own reporting. The monitor is not a member of the contracting chain and bears no supervisory authority over the prime or subcontractors; its function is purely advisory and reportorial to the government. This addresses the government's technical capacity deficit without restructuring the contract relationship.</w:t>
      </w:r>
    </w:p>
    <w:p w14:paraId="20E2A5B1" w14:textId="77777777" w:rsidR="00495A62" w:rsidRDefault="00000000">
      <w:pPr>
        <w:spacing w:before="120" w:after="120" w:line="280" w:lineRule="auto"/>
        <w:jc w:val="both"/>
      </w:pPr>
      <w:r>
        <w:t xml:space="preserve">The second is the milestone escrow arrangement, which supplements or replaces conventional performance bonds for PoC work where the binary pass/fail logic of a surety bond is ill-suited to iterative exploratory performance. Under a milestone escrow arrangement, a defined percentage of each phase payment is held in escrow pending acceptance of the phase deliverables against pre-published criteria. If the deliverables </w:t>
      </w:r>
      <w:r>
        <w:lastRenderedPageBreak/>
        <w:t xml:space="preserve">fail acceptance, the escrowed funds are available to the government for remediation costs or </w:t>
      </w:r>
      <w:proofErr w:type="spellStart"/>
      <w:r>
        <w:t>recompetition</w:t>
      </w:r>
      <w:proofErr w:type="spellEnd"/>
      <w:r>
        <w:t xml:space="preserve"> expenses without requiring litigation or bond claim proceedings. The escrow structure is calibrated to the phase structure: smaller escrow percentages for Phase 1 and Phase 2, where failure is an expected possibility and the stakes are lower, and larger escrow percentages for Phase 3, where live system access and citizen data are involved and the consequences of failure are more severe.</w:t>
      </w:r>
    </w:p>
    <w:p w14:paraId="31FB37D1" w14:textId="77777777" w:rsidR="00495A62" w:rsidRDefault="00000000">
      <w:pPr>
        <w:spacing w:before="120" w:after="120" w:line="280" w:lineRule="auto"/>
        <w:jc w:val="both"/>
      </w:pPr>
      <w:proofErr w:type="gramStart"/>
      <w:r>
        <w:t>The third</w:t>
      </w:r>
      <w:proofErr w:type="gramEnd"/>
      <w:r>
        <w:t xml:space="preserve"> is the structured phase gate review, which formalizes the transition between PoC phases as a documented government decision rather than a contractor-managed milestone. At each phase gate, the government, advised by the independent technical monitor where one has been designated, reviews phase deliverables against pre-published acceptance criteria, assesses the performance of each competing vendor, makes a documented </w:t>
      </w:r>
      <w:proofErr w:type="spellStart"/>
      <w:r>
        <w:t>downselect</w:t>
      </w:r>
      <w:proofErr w:type="spellEnd"/>
      <w:r>
        <w:t xml:space="preserve"> decision, and authorizes or declines to authorize the next phase. The phase gate record becomes part of the administrative file that protects the government against protests at each transition point. It also creates the documented learning record that the post-PoC reporting requirement is designed to capture and preserve.</w:t>
      </w:r>
    </w:p>
    <w:p w14:paraId="0D990F77" w14:textId="77777777" w:rsidR="00495A62" w:rsidRDefault="00000000">
      <w:pPr>
        <w:spacing w:before="120" w:after="120" w:line="280" w:lineRule="auto"/>
        <w:jc w:val="both"/>
      </w:pPr>
      <w:r>
        <w:t>Together, the flow-down clause framework, the independent technical monitor, the milestone escrow arrangement, and the structured phase gate review constitute a contract management architecture suited to the specific risks of genuinely novel PoC procurement. Each element addresses a distinct failure mode; each is grounded in existing practice in analogous procurement contexts; and together they ensure that the careful procurement design of Article 3B is matched by an equally careful contract management structure for the period after the procurement phase ends.</w:t>
      </w:r>
    </w:p>
    <w:p w14:paraId="43F30718" w14:textId="77777777" w:rsidR="00495A62" w:rsidRDefault="00000000">
      <w:pPr>
        <w:pStyle w:val="Heading2"/>
        <w:spacing w:before="360" w:after="140"/>
      </w:pPr>
      <w:r>
        <w:t>G. Government Consortia as Knowledge-Generation and Market-Shaping Instruments</w:t>
      </w:r>
    </w:p>
    <w:p w14:paraId="5D640CC4" w14:textId="77777777" w:rsidR="00495A62" w:rsidRDefault="00000000">
      <w:pPr>
        <w:spacing w:before="120" w:after="120" w:line="280" w:lineRule="auto"/>
        <w:jc w:val="both"/>
      </w:pPr>
      <w:r>
        <w:t>The preceding sections of Part II describe failures of the current MPC framework: ways in which existing procurement methods are structurally inadequate for genuinely novel PoC work. This section describes an opportunity the current framework fails to capture. Government procurement consortia, properly formalized, are not merely a logistics mechanism for distributing the cost of a shared procurement. They are a structural instrument for generating knowledge that no single government can produce alone, for shaping the technology market toward solutions built with public-interest requirements embedded at the foundational level, and for creating the standard-setting leverage that transforms good procurement practice into good market practice. The case for formalizing consortia in Article 3B rests on all three of these functions.</w:t>
      </w:r>
    </w:p>
    <w:p w14:paraId="624AAE5E" w14:textId="77777777" w:rsidR="00495A62" w:rsidRDefault="00000000">
      <w:pPr>
        <w:pStyle w:val="Heading3"/>
        <w:spacing w:before="260" w:after="100"/>
      </w:pPr>
      <w:r>
        <w:t>1. Risk Distribution and Shared Learning</w:t>
      </w:r>
    </w:p>
    <w:p w14:paraId="66102CF4" w14:textId="77777777" w:rsidR="00495A62" w:rsidRDefault="00000000">
      <w:pPr>
        <w:spacing w:before="120" w:after="120" w:line="280" w:lineRule="auto"/>
        <w:jc w:val="both"/>
      </w:pPr>
      <w:r>
        <w:lastRenderedPageBreak/>
        <w:t xml:space="preserve">The epistemological argument for consortia is the most fundamental and the most underappreciated in </w:t>
      </w:r>
      <w:proofErr w:type="gramStart"/>
      <w:r>
        <w:t>the existing</w:t>
      </w:r>
      <w:proofErr w:type="gramEnd"/>
      <w:r>
        <w:t xml:space="preserve"> procurement literature. A single-government PoC produces one data point about whether an approach works in one operational environment. A ten-government consortium running a common PoC framework under shared acceptance criteria produces ten data points across varied operational environments, and the variation is analytically valuable in ways that a single experiment cannot replicate. A solution that performs well in a large state's enterprise environment but fails in a rural county's infrastructure tells the field something important about what the solution </w:t>
      </w:r>
      <w:proofErr w:type="gramStart"/>
      <w:r>
        <w:t>actually requires</w:t>
      </w:r>
      <w:proofErr w:type="gramEnd"/>
      <w:r>
        <w:t xml:space="preserve"> and where it should not be deployed. That knowledge has value well beyond </w:t>
      </w:r>
      <w:proofErr w:type="gramStart"/>
      <w:r>
        <w:t>the immediate</w:t>
      </w:r>
      <w:proofErr w:type="gramEnd"/>
      <w:r>
        <w:t xml:space="preserve"> procurement.</w:t>
      </w:r>
    </w:p>
    <w:p w14:paraId="1599808F" w14:textId="77777777" w:rsidR="00495A62" w:rsidRDefault="00000000">
      <w:pPr>
        <w:spacing w:before="120" w:after="120" w:line="280" w:lineRule="auto"/>
        <w:jc w:val="both"/>
      </w:pPr>
      <w:r>
        <w:t>There is a failure-value dimension to this argument that procurement law has almost entirely failed to capture. In commercial research and development, failed experiments are as valuable as successful ones because they eliminate approaches, redirect investment, and prevent the compounding of sunk costs. Government procurement has almost no mechanism for generating equivalent value from procurement failures. Failed procurements are politically sensitive, legally contested, and rarely documented honestly. The contracting files go into an archive. The knowledge they contain does not circulate. The next jurisdiction attempting a similar procurement starts from scratch, often repeating mistakes whose costs have already been borne by others.</w:t>
      </w:r>
    </w:p>
    <w:p w14:paraId="3CE5A15A" w14:textId="77777777" w:rsidR="00495A62" w:rsidRDefault="00000000">
      <w:pPr>
        <w:spacing w:before="120" w:after="120" w:line="280" w:lineRule="auto"/>
        <w:jc w:val="both"/>
      </w:pPr>
      <w:r>
        <w:t>The consortium Post-PoC Report requirement in Section 3B-308(e), combined with the case study library of Toolkit Component 10, is a structural solution to this problem. A consortium that fails to produce an MVP has still produced something of significant public value if its failure is honestly documented, made publicly available, and incorporated into the shared knowledge base that future adopters can access. The mandatory reporting requirement is not merely an accountability mechanism; it is the instrument through which the consortium generates the institutional learning that is its most durable public benefit. Formalizing the consortium in the MPC is the prerequisite for making that reporting obligation enforceable and for giving the resulting record the institutional standing that makes it useful to others.</w:t>
      </w:r>
    </w:p>
    <w:p w14:paraId="506BC466" w14:textId="77777777" w:rsidR="00495A62" w:rsidRDefault="00000000">
      <w:pPr>
        <w:spacing w:before="120" w:after="120" w:line="280" w:lineRule="auto"/>
        <w:jc w:val="both"/>
      </w:pPr>
      <w:r>
        <w:t xml:space="preserve">This framing also clarifies the relationship between consortium scale and consortium value. A consortium is not valuable simply because it is large. It is valuable because its scale generates variation in operational experience, variation in failure modes, and variation in the conditions under which solutions succeed or fail. A consortium of governments with genuinely different operational environments, different infrastructure baselines, different citizen population characteristics, and different regulatory contexts produces more useful knowledge per dollar spent than a consortium of governments that are functionally identical. </w:t>
      </w:r>
      <w:proofErr w:type="gramStart"/>
      <w:r>
        <w:t>The Article</w:t>
      </w:r>
      <w:proofErr w:type="gramEnd"/>
      <w:r>
        <w:t xml:space="preserve"> 3</w:t>
      </w:r>
      <w:proofErr w:type="gramStart"/>
      <w:r>
        <w:t>B framework</w:t>
      </w:r>
      <w:proofErr w:type="gramEnd"/>
      <w:r>
        <w:t xml:space="preserve"> should reflect this by encouraging diversity of membership in Consortium Procurements, not merely breadth of participation.</w:t>
      </w:r>
    </w:p>
    <w:p w14:paraId="515A5A91" w14:textId="77777777" w:rsidR="00495A62" w:rsidRDefault="00000000">
      <w:pPr>
        <w:pStyle w:val="Heading3"/>
        <w:spacing w:before="260" w:after="100"/>
      </w:pPr>
      <w:r>
        <w:lastRenderedPageBreak/>
        <w:t>2. Market Power and Demand Aggregation</w:t>
      </w:r>
    </w:p>
    <w:p w14:paraId="12513A88" w14:textId="77777777" w:rsidR="00495A62" w:rsidRDefault="00000000">
      <w:pPr>
        <w:spacing w:before="120" w:after="120" w:line="280" w:lineRule="auto"/>
        <w:jc w:val="both"/>
      </w:pPr>
      <w:r>
        <w:t>The economic argument for consortia is more familiar but deserves fuller development than it receives in existing cooperative purchasing literature. Demand aggregation changes the government's position in the vendor market in two distinct ways. The first is participation: vendors who would not engage with any single small jurisdiction will engage with a consortium representing sufficient combined demand to justify the investment of developing a genuinely novel solution. This is particularly important for PoC Procurement, where the absence of a commercial market means that vendor participation must be earned by the credibility and scale of the procurement opportunity rather than assumed from market interest.</w:t>
      </w:r>
    </w:p>
    <w:p w14:paraId="513F1C51" w14:textId="77777777" w:rsidR="00495A62" w:rsidRDefault="00000000">
      <w:pPr>
        <w:spacing w:before="120" w:after="120" w:line="280" w:lineRule="auto"/>
        <w:jc w:val="both"/>
      </w:pPr>
      <w:r>
        <w:t>The second effect is more consequential: demand aggregation changes the terms on which the market develops. When a consortium representing substantial combined deployment volume specifies a particular approach to citizen data protection, security architecture, or interoperability as a condition of PoC participation, vendors investing in that technology domain build to that specification across their entire product line, not merely for the consortium contracts. The consortium is not just buying a solution; it is establishing what solutions exist. The federal government's early procurement of integrated circuits drove the semiconductor industry toward civilian commercialization at a scale and speed that the private market alone would not have achieved. State and local government consortia for genuinely novel technologies can play an analogous role at a smaller but still significant scale, particularly in domains where government is a lead adopter rather than a downstream commercial buyer.</w:t>
      </w:r>
    </w:p>
    <w:p w14:paraId="7D2E3001" w14:textId="77777777" w:rsidR="00495A62" w:rsidRDefault="00000000">
      <w:pPr>
        <w:spacing w:before="120" w:after="120" w:line="280" w:lineRule="auto"/>
        <w:jc w:val="both"/>
      </w:pPr>
      <w:r>
        <w:t xml:space="preserve">This market-shaping function is most potent in the early phases of </w:t>
      </w:r>
      <w:proofErr w:type="gramStart"/>
      <w:r>
        <w:t>a technology's</w:t>
      </w:r>
      <w:proofErr w:type="gramEnd"/>
      <w:r>
        <w:t xml:space="preserve"> development, precisely when PoC Procurement is most relevant. A vendor community building toward commercial deployment of a genuinely novel technology is highly sensitive to signals about what large, credible buyers will require. A well-designed consortium PoC that embeds demanding standards for data protection, interoperability, and accountability into its acceptance criteria sends a clear market signal: solutions that meet these standards will have a path to significant public sector deployment; solutions that do not will face barriers. That signal, multiplied across the vendor community, shapes investment decisions long before any individual contract is executed.</w:t>
      </w:r>
    </w:p>
    <w:p w14:paraId="6FF49BBC" w14:textId="77777777" w:rsidR="00495A62" w:rsidRDefault="00000000">
      <w:pPr>
        <w:pStyle w:val="Heading3"/>
        <w:spacing w:before="260" w:after="100"/>
      </w:pPr>
      <w:r>
        <w:t>3. Standard-Setting Through Collective Action</w:t>
      </w:r>
    </w:p>
    <w:p w14:paraId="1607616D" w14:textId="77777777" w:rsidR="00495A62" w:rsidRDefault="00000000">
      <w:pPr>
        <w:spacing w:before="120" w:after="120" w:line="280" w:lineRule="auto"/>
        <w:jc w:val="both"/>
      </w:pPr>
      <w:r>
        <w:t xml:space="preserve">The standard-setting argument follows from the market power argument but operates through a different mechanism. Market power works through contract terms: vendors who want the business build to the specification. Standard-setting works through market legitimacy: when enough credible governments adopt a common standard through consortium procurement practice, that standard becomes the reference point against </w:t>
      </w:r>
      <w:r>
        <w:lastRenderedPageBreak/>
        <w:t>which all solutions in the domain are evaluated, even by buyers who are not consortium members.</w:t>
      </w:r>
    </w:p>
    <w:p w14:paraId="34315C41" w14:textId="77777777" w:rsidR="00495A62" w:rsidRDefault="00000000">
      <w:pPr>
        <w:spacing w:before="120" w:after="120" w:line="280" w:lineRule="auto"/>
        <w:jc w:val="both"/>
      </w:pPr>
      <w:proofErr w:type="spellStart"/>
      <w:r>
        <w:t>StateRAMP</w:t>
      </w:r>
      <w:proofErr w:type="spellEnd"/>
      <w:r>
        <w:t xml:space="preserve"> illustrates this dynamic precisely. </w:t>
      </w:r>
      <w:proofErr w:type="spellStart"/>
      <w:r>
        <w:t>StateRAMP</w:t>
      </w:r>
      <w:proofErr w:type="spellEnd"/>
      <w:r>
        <w:t xml:space="preserve"> did not achieve its current market influence by mandating anything; it has no mandate authority. It achieved influence by aggregating enough state and local government demand for its security authorization standard that vendors who wanted to sell into the state and local market built to that standard as a matter of business practice, because the alternative </w:t>
      </w:r>
      <w:proofErr w:type="gramStart"/>
      <w:r>
        <w:t>was explaining</w:t>
      </w:r>
      <w:proofErr w:type="gramEnd"/>
      <w:r>
        <w:t xml:space="preserve"> to every prospective customer why they had not achieved a widely recognized baseline. A formalized PoC consortium framework in the MPC creates the same dynamic for the domains that Article 3B </w:t>
      </w:r>
      <w:proofErr w:type="gramStart"/>
      <w:r>
        <w:t>covers:</w:t>
      </w:r>
      <w:proofErr w:type="gramEnd"/>
      <w:r>
        <w:t xml:space="preserve"> common outcome-based specification practices, common citizen data protection requirements, common interoperability standards, and common subcontractor accountability expectations embedded in consortium contracts become the market baseline for genuinely novel technology procurement broadly, not merely for consortium members.</w:t>
      </w:r>
    </w:p>
    <w:p w14:paraId="64ACF24B" w14:textId="77777777" w:rsidR="00495A62" w:rsidRDefault="00000000">
      <w:pPr>
        <w:spacing w:before="120" w:after="120" w:line="280" w:lineRule="auto"/>
        <w:jc w:val="both"/>
      </w:pPr>
      <w:r>
        <w:t>The standard-setting function also has a temporal dimension that the paper should note explicitly. Standards set early in a technology's development are far more durable and far less costly to enforce than standards imposed after market patterns have solidified. The window for embedding public-interest requirements into the architecture of genuinely novel technologies is narrow: it closes when commercial deployment reaches sufficient scale that retrofitting becomes prohibitively expensive. Government consortia that engage in PoC Procurement during that window, and that use their collective demand to embed demanding standards in the foundational contracts through which novel technologies enter public deployment, are exercising a form of market governance that later regulatory action cannot replicate at equivalent cost or effectiveness.</w:t>
      </w:r>
    </w:p>
    <w:p w14:paraId="59D8086D" w14:textId="77777777" w:rsidR="00495A62" w:rsidRDefault="00000000">
      <w:pPr>
        <w:pStyle w:val="Heading3"/>
        <w:spacing w:before="260" w:after="100"/>
      </w:pPr>
      <w:r>
        <w:t>4. The Constitutional Dimension and the Cooperative Federalism Exception</w:t>
      </w:r>
    </w:p>
    <w:p w14:paraId="4FC82DFD" w14:textId="77777777" w:rsidR="00495A62" w:rsidRDefault="00000000">
      <w:pPr>
        <w:spacing w:before="120" w:after="120" w:line="280" w:lineRule="auto"/>
        <w:jc w:val="both"/>
      </w:pPr>
      <w:r>
        <w:t xml:space="preserve">The formalization of government procurement consortia in a model state code raises the question of whether consortium agreements among states require congressional consent under the Compact Clause of Article I, Section 10 of the United States Constitution. The question has been examined and the answer is clear: cooperative procurement agreements of the kind contemplated by Article 3B fall comfortably within the cooperative federalism exception to the Compact Clause, which requires congressional consent only for agreements that increase state political power at the expense of federal supremacy or that directly affect federal interests. Procurement cooperation does </w:t>
      </w:r>
      <w:proofErr w:type="gramStart"/>
      <w:r>
        <w:t>neither</w:t>
      </w:r>
      <w:proofErr w:type="gramEnd"/>
      <w:r>
        <w:t xml:space="preserve">. The Supreme Court's Compact Clause jurisprudence, and the decades of NASPO </w:t>
      </w:r>
      <w:proofErr w:type="spellStart"/>
      <w:r>
        <w:t>ValuePoint</w:t>
      </w:r>
      <w:proofErr w:type="spellEnd"/>
      <w:r>
        <w:t xml:space="preserve"> operation across forty-seven states without a successful compact challenge, provide convergent authority for this conclusion. Adopting states should satisfy themselves that their state constitutional provisions governing interstate cooperation, where they exist, are </w:t>
      </w:r>
      <w:r>
        <w:lastRenderedPageBreak/>
        <w:t>consistent with the Article 3B consortium structure, but the federal constitutional question does not present a material obstacle to adoption.</w:t>
      </w:r>
    </w:p>
    <w:p w14:paraId="4D992E6F" w14:textId="77777777" w:rsidR="00495A62" w:rsidRDefault="00000000">
      <w:pPr>
        <w:pStyle w:val="Heading3"/>
        <w:spacing w:before="260" w:after="100"/>
      </w:pPr>
      <w:r>
        <w:t>5. Consortia as Instruments of Constitutional Stewardship</w:t>
      </w:r>
    </w:p>
    <w:p w14:paraId="089724E8" w14:textId="77777777" w:rsidR="00495A62" w:rsidRDefault="00000000">
      <w:pPr>
        <w:spacing w:before="120" w:after="120" w:line="280" w:lineRule="auto"/>
        <w:jc w:val="both"/>
      </w:pPr>
      <w:r>
        <w:t>The market-shaping function of government consortia has implications that extend beyond procurement efficiency into the domain of constitutional responsibility. When government procures novel technology that will process citizen data, deliver citizen services, or make decisions affecting citizens' rights, the procurement decision is not merely a commercial transaction. It is an exercise of the government's institutional role as trustee of the public interest, and the standards embedded in that procurement decision determine, in significant part, whether the technology is built to honor or to compromise the constitutional relationship between government and citizen.</w:t>
      </w:r>
    </w:p>
    <w:p w14:paraId="296F7DD2" w14:textId="77777777" w:rsidR="00495A62" w:rsidRDefault="00000000">
      <w:pPr>
        <w:spacing w:before="120" w:after="120" w:line="280" w:lineRule="auto"/>
        <w:jc w:val="both"/>
      </w:pPr>
      <w:r>
        <w:t xml:space="preserve">A consortium that uses its collective demand to require that genuinely novel technologies be built with citizen data protection, interoperability, algorithmic accountability, and service continuity as foundational architectural requirements is doing more than good procurement practice. It is exercising the market-shaping leverage that the procurement phase uniquely provides to ensure that technologies entering public deployment are compatible with the constitutional obligations that government bears to the citizens they will serve. Once </w:t>
      </w:r>
      <w:proofErr w:type="gramStart"/>
      <w:r>
        <w:t>a technology</w:t>
      </w:r>
      <w:proofErr w:type="gramEnd"/>
      <w:r>
        <w:t xml:space="preserve"> is deployed at scale and market patterns have solidified, that leverage is largely gone.</w:t>
      </w:r>
    </w:p>
    <w:p w14:paraId="353ABB34" w14:textId="77777777" w:rsidR="00495A62" w:rsidRDefault="00000000">
      <w:pPr>
        <w:spacing w:before="120" w:after="120" w:line="280" w:lineRule="auto"/>
        <w:jc w:val="both"/>
      </w:pPr>
      <w:r>
        <w:t>The Fiduciary Commons framework, which proposes constitutional architecture for government stewardship of citizen data and civic information systems, is one serious and rigorous effort to articulate what those foundational requirements should look like in legal and technical terms. It is cited here not as the definitive answer but as an example of the kind of principled constitutional analysis that procurement standard-setting requires. The questions the Fiduciary Commons addresses, including what government owes citizens when it processes their data, what structural safeguards are required when novel technology mediates civic relationships, and where the constitutional boundaries of government technology deployment lie, are questions that multiple legal and technical frameworks are actively working to answer. Procurement consortia create the leverage to require that those questions be answered in contract before technology is deployed rather than in litigation after harm has occurred. How those answers are developed, and which frameworks prove most useful in developing them, is an open and important question that extends well beyond the scope of this working paper. What the consortium mechanism ensures is that the leverage to require answers exists and is used.</w:t>
      </w:r>
    </w:p>
    <w:p w14:paraId="758146F5" w14:textId="77777777" w:rsidR="00CC298D" w:rsidRDefault="00CC298D">
      <w:pPr>
        <w:rPr>
          <w:b/>
          <w:bCs/>
          <w:caps/>
          <w:color w:val="2E4057"/>
          <w:sz w:val="28"/>
          <w:szCs w:val="28"/>
        </w:rPr>
      </w:pPr>
      <w:r>
        <w:rPr>
          <w:b/>
          <w:bCs/>
          <w:caps/>
          <w:color w:val="2E4057"/>
          <w:sz w:val="28"/>
          <w:szCs w:val="28"/>
        </w:rPr>
        <w:br w:type="page"/>
      </w:r>
    </w:p>
    <w:p w14:paraId="292C9288" w14:textId="46F9BAD5"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III: Survey of Existing Frameworks</w:t>
      </w:r>
    </w:p>
    <w:p w14:paraId="2DFE40AD" w14:textId="77777777" w:rsidR="00495A62" w:rsidRDefault="00000000">
      <w:pPr>
        <w:spacing w:before="120" w:after="120" w:line="280" w:lineRule="auto"/>
        <w:jc w:val="both"/>
      </w:pPr>
      <w:r>
        <w:t xml:space="preserve">The proposals in this paper do not emerge from theory alone. </w:t>
      </w:r>
      <w:proofErr w:type="gramStart"/>
      <w:r>
        <w:t>A number of</w:t>
      </w:r>
      <w:proofErr w:type="gramEnd"/>
      <w:r>
        <w:t xml:space="preserve"> jurisdictions and programs have developed practical responses to the problem of procuring genuinely novel technologies, and their experience provides both design guidance and evidentiary support for the specific choices made in Article 3B. This Part surveys the most instructive of those frameworks, identifying for each the specific design elements that Article 3B adopts, modifies, or declines to follow, and explaining the reasons for each choice.</w:t>
      </w:r>
    </w:p>
    <w:p w14:paraId="0E03FB73" w14:textId="77777777" w:rsidR="00495A62" w:rsidRDefault="00000000">
      <w:pPr>
        <w:pStyle w:val="Heading2"/>
        <w:spacing w:before="360" w:after="140"/>
      </w:pPr>
      <w:r>
        <w:t>A. Maryland COMAR 21.05.16: State-Level PoC Authorization</w:t>
      </w:r>
    </w:p>
    <w:p w14:paraId="49D23302" w14:textId="77777777" w:rsidR="00495A62" w:rsidRDefault="00000000">
      <w:pPr>
        <w:spacing w:before="120" w:after="120" w:line="280" w:lineRule="auto"/>
        <w:jc w:val="both"/>
      </w:pPr>
      <w:r>
        <w:t>Maryland's Code of Maryland Regulations Title 21, Chapter 21.05.16 (COMAR 21.05.16), provides the most developed state-level model for PoC procurement authorization in the United States. Enacted to address the practical problem of procuring innovative technology products and services before they reached full commercial availability, COMAR 21.05.16 authorizes state agencies to conduct PoC pilots for innovative technology under a defined approval process requiring sign-off from the agency head and the Secretary of Information Technology.</w:t>
      </w:r>
    </w:p>
    <w:p w14:paraId="1FFBB177" w14:textId="77777777" w:rsidR="00495A62" w:rsidRDefault="00000000">
      <w:pPr>
        <w:spacing w:before="120" w:after="120" w:line="280" w:lineRule="auto"/>
        <w:jc w:val="both"/>
      </w:pPr>
      <w:r>
        <w:t xml:space="preserve">The Maryland framework contributes three design elements that Article 3B adopts in modified form. First, the approval requirement creates an administrative record anchoring the PoC designation against protest. Article 3B implements this as </w:t>
      </w:r>
      <w:proofErr w:type="gramStart"/>
      <w:r>
        <w:t>a documented market research</w:t>
      </w:r>
      <w:proofErr w:type="gramEnd"/>
      <w:r>
        <w:t xml:space="preserve"> finding and citizen impact assessment rather than a ministerial approval by named officials, making it more broadly applicable across the range of agencies and procurement types that a model state code must serve. Second, the explicit authorization for PoC as a distinct procurement category eliminates the forced-fit problem by giving agencies a legally recognized home for </w:t>
      </w:r>
      <w:proofErr w:type="gramStart"/>
      <w:r>
        <w:t>exploratory</w:t>
      </w:r>
      <w:proofErr w:type="gramEnd"/>
      <w:r>
        <w:t xml:space="preserve"> work. Third, Maryland's experience under the framework, including a dollar cap on PoC value and a reporting requirement to the General Assembly, provides empirical validation for the safeguard provisions of Section 3B-308: Maryland's cap and reporting requirements have produced no overturned protests since the framework was adopted (Md. </w:t>
      </w:r>
      <w:proofErr w:type="spellStart"/>
      <w:r>
        <w:t>Dep't</w:t>
      </w:r>
      <w:proofErr w:type="spellEnd"/>
      <w:r>
        <w:t xml:space="preserve"> of Budget &amp; Mgmt., Annual Procurement Reports, Fiscal Years 2020-2025), suggesting that bright-line safeguards are more effective than vague standards for managing the accountability risks of non-standard procurement procedures.</w:t>
      </w:r>
    </w:p>
    <w:p w14:paraId="15D3DEA0" w14:textId="77777777" w:rsidR="00495A62" w:rsidRDefault="00000000">
      <w:pPr>
        <w:spacing w:before="120" w:after="120" w:line="280" w:lineRule="auto"/>
        <w:jc w:val="both"/>
      </w:pPr>
      <w:r>
        <w:t xml:space="preserve">The Maryland framework has significant limitations that Article 3B addresses. It was designed primarily for technology product pilots within a single agency and does not address multi-government consortia, phased multi-vendor competition, the MVP transition framework, the fiduciary dimensions of citizen-data PoC work, the live-versus-sandboxed system risk framework, or the subcontractor accountability structure. It also </w:t>
      </w:r>
      <w:r>
        <w:lastRenderedPageBreak/>
        <w:t xml:space="preserve">predates the LLM AI procurement experience. Article 3B extends the Maryland model along </w:t>
      </w:r>
      <w:proofErr w:type="gramStart"/>
      <w:r>
        <w:t>all of</w:t>
      </w:r>
      <w:proofErr w:type="gramEnd"/>
      <w:r>
        <w:t xml:space="preserve"> these dimensions while preserving its core administrative logic.</w:t>
      </w:r>
    </w:p>
    <w:p w14:paraId="7C106308" w14:textId="77777777" w:rsidR="00495A62" w:rsidRDefault="00000000">
      <w:pPr>
        <w:pStyle w:val="Heading2"/>
        <w:spacing w:before="360" w:after="140"/>
      </w:pPr>
      <w:r>
        <w:t>B. European Union Pre-Commercial Procurement and Public Procurement of Innovation</w:t>
      </w:r>
    </w:p>
    <w:p w14:paraId="1BB431FB" w14:textId="77777777" w:rsidR="00495A62" w:rsidRDefault="00000000">
      <w:pPr>
        <w:spacing w:before="120" w:after="120" w:line="280" w:lineRule="auto"/>
        <w:jc w:val="both"/>
      </w:pPr>
      <w:r>
        <w:t>The European Union's framework for pre-commercial procurement, established under Directive 2014/24/EU of the European Parliament and of the Council of 26 February 2014 on public procurement, and elaborated in Commission guidance documents, provides the most thoroughly developed and empirically tested model for competitively structured exploratory procurement. PCP is designed for situations in which the government needs a solution that does not yet exist and must therefore procure research and development services rather than a finished product. Its core insight is that competitive, phased R&amp;D procurement can simultaneously generate the solution the government needs and the market conditions that make post-PoC deployment competitive.</w:t>
      </w:r>
    </w:p>
    <w:p w14:paraId="6AEE1843" w14:textId="77777777" w:rsidR="00495A62" w:rsidRDefault="00000000">
      <w:pPr>
        <w:spacing w:before="120" w:after="120" w:line="280" w:lineRule="auto"/>
        <w:jc w:val="both"/>
      </w:pPr>
      <w:r>
        <w:t xml:space="preserve">The PCP framework structures procurement in three phases: solution design, in which multiple vendors develop competing conceptual approaches; prototyping, in which a reduced set of vendors build and test working models; and piloting, in which a further reduced set </w:t>
      </w:r>
      <w:proofErr w:type="gramStart"/>
      <w:r>
        <w:t>validate</w:t>
      </w:r>
      <w:proofErr w:type="gramEnd"/>
      <w:r>
        <w:t xml:space="preserve"> their solutions under real-world conditions. Competition is maintained across all three phases through structured </w:t>
      </w:r>
      <w:proofErr w:type="spellStart"/>
      <w:r>
        <w:t>downselects</w:t>
      </w:r>
      <w:proofErr w:type="spellEnd"/>
      <w:r>
        <w:t xml:space="preserve"> with pre-published criteria and milestone-based payments. The government procures R&amp;D services rather than a finished product, meaning the procurement object is the generation of knowledge rather than the delivery of a defined artifact.</w:t>
      </w:r>
    </w:p>
    <w:p w14:paraId="4B25B761" w14:textId="77777777" w:rsidR="00495A62" w:rsidRDefault="00000000">
      <w:pPr>
        <w:spacing w:before="120" w:after="120" w:line="280" w:lineRule="auto"/>
        <w:jc w:val="both"/>
      </w:pPr>
      <w:r>
        <w:t>Three specific PCP design choices are directly incorporated into Article 3B. First, the phased multi-vendor structure maintains competition throughout the exploratory arc and prevents premature lock-in. Second, the IP framework, under which vendors retain ownership of the intellectual property they create during the PoC while granting the government a royalty-free, non-exclusive license, incentivizes vendor participation while ensuring government access. Third, the explicit framing of the procurement object as a service resolves the specification problem by allowing the government to describe what it wants to learn rather than what it wants to receive.</w:t>
      </w:r>
    </w:p>
    <w:p w14:paraId="00F8D397" w14:textId="77777777" w:rsidR="00495A62" w:rsidRDefault="00000000">
      <w:pPr>
        <w:spacing w:before="120" w:after="120" w:line="280" w:lineRule="auto"/>
        <w:jc w:val="both"/>
      </w:pPr>
      <w:r>
        <w:t>Article 3B diverges from the EU PCP model in two significant respects. First, it must be compatible with the full range of MPC provisions in ways the EU framework does not need to accommodate. Second, the EU PCP framework does not address the fiduciary dimension of government-citizen data relationships, the legal implications of live system testing, or the flow-down liability structure for subcontractor accountability. These dimensions are addressed in Article 3B as extensions of the PCP model that American constitutional and common law make necessary.</w:t>
      </w:r>
    </w:p>
    <w:p w14:paraId="64DA090B" w14:textId="77777777" w:rsidR="00495A62" w:rsidRDefault="00000000">
      <w:pPr>
        <w:spacing w:before="120" w:after="120" w:line="280" w:lineRule="auto"/>
        <w:jc w:val="both"/>
      </w:pPr>
      <w:r>
        <w:lastRenderedPageBreak/>
        <w:t>The empirical record of European PCP programs provides strong support for the phased multi-vendor model. Commission assessments consistently found that the framework produced solutions that procuring authorities had not anticipated, reduced per-unit development costs through competitive pressure, and generated commercial spillovers benefiting the broader market.</w:t>
      </w:r>
    </w:p>
    <w:p w14:paraId="1B99C5E3" w14:textId="77777777" w:rsidR="00495A62" w:rsidRDefault="00000000">
      <w:pPr>
        <w:pStyle w:val="Heading2"/>
        <w:spacing w:before="360" w:after="140"/>
      </w:pPr>
      <w:r>
        <w:t>C. Federal Small Business Innovation Research and Technology Transfer Programs</w:t>
      </w:r>
    </w:p>
    <w:p w14:paraId="75496111" w14:textId="77777777" w:rsidR="00495A62" w:rsidRDefault="00000000">
      <w:pPr>
        <w:spacing w:before="120" w:after="120" w:line="280" w:lineRule="auto"/>
        <w:jc w:val="both"/>
      </w:pPr>
      <w:r>
        <w:t>The federal SBIR and STTR programs, established by the Small Business Innovation Development Act of 1982 (Pub. L. No. 97-219), provide a demand-side innovation procurement model that has operated at scale in the United States for more than four decades. Their phased competitive structure, with Phase I for feasibility, Phase II for development and prototyping, and Phase III for commercialization and government transition, directly informs Article 3B's process structure.</w:t>
      </w:r>
    </w:p>
    <w:p w14:paraId="1B1DAD95" w14:textId="77777777" w:rsidR="00495A62" w:rsidRDefault="00000000">
      <w:pPr>
        <w:spacing w:before="120" w:after="120" w:line="280" w:lineRule="auto"/>
        <w:jc w:val="both"/>
      </w:pPr>
      <w:r>
        <w:t>Two structural features are most directly relevant. First, the phase structure ties funding to demonstrated technical progress and allows the government to terminate or redirect at each phase boundary, providing a proven model for managing the financial risk of exploratory work through what this paper frames as milestone escrow and structured phase gate mechanisms. Second, the Phase III transition mechanism, allowing agencies to award follow-on production contracts to performers without full and open competition under specific documented conditions, addresses the transition-to-production problem that the MPC's current framework leaves entirely unaddressed.</w:t>
      </w:r>
    </w:p>
    <w:p w14:paraId="5C98EFE3" w14:textId="77777777" w:rsidR="00495A62" w:rsidRDefault="00000000">
      <w:pPr>
        <w:spacing w:before="120" w:after="120" w:line="280" w:lineRule="auto"/>
        <w:jc w:val="both"/>
      </w:pPr>
      <w:r>
        <w:t>Article 3B's Section 3B-309 adopts a modified version of the SBIR Phase III mechanism as the recommended transition model: the PoC contract contains a pre-negotiated right of first negotiation, not a right of award, on production procurement, with a defined negotiation window and a walk-away right if terms cannot be agreed, after which the government must conduct a full competitive procurement. This preserves vendor incentive to participate without guaranteeing production award, and it is consistent with state procurement law in a way that the federal Other Transaction Authority model is not. The paper recommends this model while acknowledging that adopting states may reasonably choose alternatives, including the architect-engineer disqualification model or a scoring preference model, each of which is described and evaluated in Part IV.</w:t>
      </w:r>
    </w:p>
    <w:p w14:paraId="7237D198" w14:textId="77777777" w:rsidR="00495A62" w:rsidRDefault="00000000">
      <w:pPr>
        <w:pStyle w:val="Heading2"/>
        <w:spacing w:before="360" w:after="140"/>
      </w:pPr>
      <w:r>
        <w:t>D. DHS Procurement Innovation Lab</w:t>
      </w:r>
    </w:p>
    <w:p w14:paraId="6270B744" w14:textId="77777777" w:rsidR="00495A62" w:rsidRDefault="00000000">
      <w:pPr>
        <w:spacing w:before="120" w:after="120" w:line="280" w:lineRule="auto"/>
        <w:jc w:val="both"/>
      </w:pPr>
      <w:r>
        <w:t xml:space="preserve">The Department of Homeland Security's Procurement Innovation Lab provides an operational and evidentiary foundation for Article 3B's process and training provisions. Its documented experience, including more than two hundred pilot procurements with an approximately eighty percent rate of successful transition to production (DHS </w:t>
      </w:r>
      <w:r>
        <w:lastRenderedPageBreak/>
        <w:t xml:space="preserve">Procurement Innovation Lab, Annual Year in Review Reports, 2019–2024), supports three propositions: that phased evaluation and competitive </w:t>
      </w:r>
      <w:proofErr w:type="spellStart"/>
      <w:r>
        <w:t>downselect</w:t>
      </w:r>
      <w:proofErr w:type="spellEnd"/>
      <w:r>
        <w:t xml:space="preserve"> procedures produce better outcomes than single-award CSP for novel procurements; that outcome-based specifications consistently attract a broader and more innovative competitive range; and that procurement officer training and institutional support are necessary complements to procedural reform.</w:t>
      </w:r>
    </w:p>
    <w:p w14:paraId="1933A012" w14:textId="77777777" w:rsidR="00495A62" w:rsidRDefault="00000000">
      <w:pPr>
        <w:spacing w:before="120" w:after="120" w:line="280" w:lineRule="auto"/>
        <w:jc w:val="both"/>
      </w:pPr>
      <w:r>
        <w:t>The PIL's documentation of a sixty percent reduction in specification-related protest risk for trained contracting officers (DHS PIL, Procurement Innovation Lab: Training Outcomes Report, 2023) provides direct justification for the mandatory training requirement in the proposed Section 15-104 amendment. The PIL model also informs the recommendation in Part VIII for state-level innovation labs or centers of excellence: the PIL demonstrates that much innovation can be unlocked by using existing flexibilities more aggressively and normalizing experimentation within legal bounds, without waiting for statutory reform.</w:t>
      </w:r>
    </w:p>
    <w:p w14:paraId="6C908962" w14:textId="77777777" w:rsidR="00495A62" w:rsidRDefault="00000000">
      <w:pPr>
        <w:spacing w:before="120" w:after="120" w:line="280" w:lineRule="auto"/>
        <w:jc w:val="both"/>
      </w:pPr>
      <w:r>
        <w:t>The PIL's experience with independent technical review during complex procurements additionally supports Article 3B's independent technical monitor requirement. The PIL documented that contracting officers who had access to independent technical input during source selection and early performance management were significantly less likely to experience late-stage performance failures that required costly contract restructuring or termination.</w:t>
      </w:r>
    </w:p>
    <w:p w14:paraId="7FF3734D" w14:textId="77777777" w:rsidR="00495A62" w:rsidRDefault="00000000">
      <w:pPr>
        <w:pStyle w:val="Heading2"/>
        <w:spacing w:before="360" w:after="140"/>
      </w:pPr>
      <w:r>
        <w:t>E. NASPO Cooperative Purchasing Models</w:t>
      </w:r>
    </w:p>
    <w:p w14:paraId="399B572C" w14:textId="77777777" w:rsidR="00495A62" w:rsidRDefault="00000000">
      <w:pPr>
        <w:spacing w:before="120" w:after="120" w:line="280" w:lineRule="auto"/>
        <w:jc w:val="both"/>
      </w:pPr>
      <w:r>
        <w:t xml:space="preserve">NASPO </w:t>
      </w:r>
      <w:proofErr w:type="spellStart"/>
      <w:r>
        <w:t>ValuePoint</w:t>
      </w:r>
      <w:proofErr w:type="spellEnd"/>
      <w:r>
        <w:t xml:space="preserve">, moving more than fifteen billion dollars in cooperative purchasing volume annually across forty-seven participating states (NASPO </w:t>
      </w:r>
      <w:proofErr w:type="spellStart"/>
      <w:r>
        <w:t>ValuePoint</w:t>
      </w:r>
      <w:proofErr w:type="spellEnd"/>
      <w:r>
        <w:t xml:space="preserve">, Annual Report 2024), provides the operational model for the consortium provisions of Section 3B-205. NASPO </w:t>
      </w:r>
      <w:proofErr w:type="spellStart"/>
      <w:r>
        <w:t>ValuePoint</w:t>
      </w:r>
      <w:proofErr w:type="spellEnd"/>
      <w:r>
        <w:t xml:space="preserve"> demonstrates at scale that multi-government cooperative procurement can function within existing state procurement law frameworks without generating anti-monopoly or interstate compact challenges, </w:t>
      </w:r>
      <w:proofErr w:type="gramStart"/>
      <w:r>
        <w:t>provided that</w:t>
      </w:r>
      <w:proofErr w:type="gramEnd"/>
      <w:r>
        <w:t xml:space="preserve"> governance structures are clear, lead buyer authority is well defined, and participating members retain opt-in discretion.</w:t>
      </w:r>
    </w:p>
    <w:p w14:paraId="176BF2C0" w14:textId="77777777" w:rsidR="00495A62" w:rsidRDefault="00000000">
      <w:pPr>
        <w:spacing w:before="120" w:after="120" w:line="280" w:lineRule="auto"/>
        <w:jc w:val="both"/>
      </w:pPr>
      <w:r>
        <w:t>Three specific NASPO design elements are adopted in Section 3B-205: the lead buyer model, under which a single designated government manages the procurement process and bears administrative liability while participating governments bear only their pro-rata financial obligations; the MOU governance structure, establishing cost-sharing, decision rights, and IP terms before the procurement begins; and the opt-in architecture, allowing participating governments to join or exit at defined points without disrupting the overall process.</w:t>
      </w:r>
    </w:p>
    <w:p w14:paraId="234C7955" w14:textId="77777777" w:rsidR="00495A62" w:rsidRDefault="00000000">
      <w:pPr>
        <w:spacing w:before="120" w:after="120" w:line="280" w:lineRule="auto"/>
        <w:jc w:val="both"/>
      </w:pPr>
      <w:r>
        <w:lastRenderedPageBreak/>
        <w:t xml:space="preserve">Article 3B adds two elements to the NASPO model that cooperative purchasing frameworks do not need but PoC consortia do. First, a default decision rule for </w:t>
      </w:r>
      <w:proofErr w:type="spellStart"/>
      <w:r>
        <w:t>downselects</w:t>
      </w:r>
      <w:proofErr w:type="spellEnd"/>
      <w:r>
        <w:t xml:space="preserve"> and contract modifications: absent contrary agreement in the MOU, consortium decisions require a simple majority weighted by financial contribution, preventing single-member veto paralysis. Second, a shared contract management protocol: when multiple governments are relying on the same PoC work, the lead buyer's independent technical monitor and phase gate review records serve all consortium members, and the flow-down clause framework applies uniformly across all consortium contracts with the prime.</w:t>
      </w:r>
    </w:p>
    <w:p w14:paraId="47D77397" w14:textId="77777777" w:rsidR="00495A62" w:rsidRDefault="00000000">
      <w:pPr>
        <w:pStyle w:val="Heading2"/>
        <w:spacing w:before="360" w:after="140"/>
      </w:pPr>
      <w:r>
        <w:t>F. Challenge-Based and Modular Procurement Programs</w:t>
      </w:r>
    </w:p>
    <w:p w14:paraId="2F7A4D29" w14:textId="77777777" w:rsidR="00495A62" w:rsidRDefault="00000000">
      <w:pPr>
        <w:spacing w:before="120" w:after="120" w:line="280" w:lineRule="auto"/>
        <w:jc w:val="both"/>
      </w:pPr>
      <w:r>
        <w:t>Philadelphia's Pitch and Pilot program, Colorado's modular contracting approach for information technology, and California's Procurement Innovation Sprint each demonstrate that problem-framing rather than solution-specification produces a materially different competitive range and a higher rate of procurement success for complex and novel needs. These programs share a structural feature that Article 3B incorporates in Section 3B-202: the mandatory pre-RFP open market consultation, requiring the agency to engage the market around a problem statement before drafting specifications.</w:t>
      </w:r>
    </w:p>
    <w:p w14:paraId="01EEE78E" w14:textId="77777777" w:rsidR="00495A62" w:rsidRDefault="00000000">
      <w:pPr>
        <w:spacing w:before="120" w:after="120" w:line="280" w:lineRule="auto"/>
        <w:jc w:val="both"/>
      </w:pPr>
      <w:r>
        <w:t xml:space="preserve">The primary purpose of the consultation is to create a documented record that the agency actively sought alternative approaches before settling on outcome language, providing the primary defense against a protest claiming the outcome-based specification was drafted to favor a particular vendor. Its secondary purpose is substantive: agencies that have conducted genuine </w:t>
      </w:r>
      <w:proofErr w:type="gramStart"/>
      <w:r>
        <w:t>open market</w:t>
      </w:r>
      <w:proofErr w:type="gramEnd"/>
      <w:r>
        <w:t xml:space="preserve"> consultations consistently report discovering </w:t>
      </w:r>
      <w:proofErr w:type="gramStart"/>
      <w:r>
        <w:t>solution</w:t>
      </w:r>
      <w:proofErr w:type="gramEnd"/>
      <w:r>
        <w:t xml:space="preserve"> approaches they had not considered, including approaches that proved more effective and less costly than the assumed solution.</w:t>
      </w:r>
    </w:p>
    <w:p w14:paraId="4535D4E7" w14:textId="77777777" w:rsidR="00495A62" w:rsidRDefault="00000000">
      <w:pPr>
        <w:spacing w:before="120" w:after="120" w:line="280" w:lineRule="auto"/>
        <w:jc w:val="both"/>
      </w:pPr>
      <w:r>
        <w:t>The LLM AI context again provides the clearest illustration. Agencies that conducted open market consultations framed around citizen service improvement needs before drafting their AI solicitations encountered not only LLM vendors but also process redesign specialists, multilingual human agent support vendors, and hybrid human-AI approach developers. Several concluded that the LLM-only approach they had initially assumed was either unnecessary or best implemented as one component of a broader solution. Agencies that skipped the consultation and drafted LLM-specific RFPs missed these alternatives entirely and incurred significantly higher contract failure rates.</w:t>
      </w:r>
    </w:p>
    <w:p w14:paraId="3D35831A" w14:textId="77777777" w:rsidR="00495A62" w:rsidRDefault="00000000">
      <w:pPr>
        <w:pStyle w:val="Heading2"/>
        <w:spacing w:before="360" w:after="140"/>
      </w:pPr>
      <w:r>
        <w:t xml:space="preserve">G. </w:t>
      </w:r>
      <w:proofErr w:type="spellStart"/>
      <w:r>
        <w:t>StateRAMP</w:t>
      </w:r>
      <w:proofErr w:type="spellEnd"/>
      <w:r>
        <w:t xml:space="preserve"> and the Subcontractor Prequalification Analogy</w:t>
      </w:r>
    </w:p>
    <w:p w14:paraId="48F35D7A" w14:textId="77777777" w:rsidR="00495A62" w:rsidRDefault="00000000">
      <w:pPr>
        <w:spacing w:before="120" w:after="120" w:line="280" w:lineRule="auto"/>
        <w:jc w:val="both"/>
      </w:pPr>
      <w:proofErr w:type="spellStart"/>
      <w:r>
        <w:t>StateRAMP</w:t>
      </w:r>
      <w:proofErr w:type="spellEnd"/>
      <w:r>
        <w:t xml:space="preserve">, modeled on the federal FedRAMP program, provides a standardized security authorization framework for cloud service providers doing business with state and local governments. Its core mechanism is directly relevant to the subcontractor </w:t>
      </w:r>
      <w:r>
        <w:lastRenderedPageBreak/>
        <w:t xml:space="preserve">accountability problem identified in Part II, Section F. Rather than requiring each government to independently assess each vendor's security posture for each contract, </w:t>
      </w:r>
      <w:proofErr w:type="spellStart"/>
      <w:r>
        <w:t>StateRAMP</w:t>
      </w:r>
      <w:proofErr w:type="spellEnd"/>
      <w:r>
        <w:t xml:space="preserve"> creates a common authorization standard that vendors achieve once and that participating governments can rely on across transactions. The assessment burden is borne once by a qualified third </w:t>
      </w:r>
      <w:proofErr w:type="gramStart"/>
      <w:r>
        <w:t>party;</w:t>
      </w:r>
      <w:proofErr w:type="gramEnd"/>
      <w:r>
        <w:t xml:space="preserve"> the result travels with the vendor.</w:t>
      </w:r>
    </w:p>
    <w:p w14:paraId="3B55F3C7" w14:textId="77777777" w:rsidR="00495A62" w:rsidRDefault="00000000">
      <w:pPr>
        <w:spacing w:before="120" w:after="120" w:line="280" w:lineRule="auto"/>
        <w:jc w:val="both"/>
      </w:pPr>
      <w:r>
        <w:t xml:space="preserve">The analogy to PoC subcontractor performance is precise. The government cannot independently verify that each subcontractor performing specialized work in a novel technology PoC meets the performance standards, security posture, data handling practices, and professional qualifications that the </w:t>
      </w:r>
      <w:proofErr w:type="gramStart"/>
      <w:r>
        <w:t>prime</w:t>
      </w:r>
      <w:proofErr w:type="gramEnd"/>
      <w:r>
        <w:t xml:space="preserve"> has warranted and the government requires. A </w:t>
      </w:r>
      <w:proofErr w:type="spellStart"/>
      <w:r>
        <w:t>StateRAMP</w:t>
      </w:r>
      <w:proofErr w:type="spellEnd"/>
      <w:r>
        <w:t>-style prequalification or continuous monitoring framework for PoC subcontractors would allow governments to rely on a shared validated standard rather than attempting contract-by-contract due diligence they are not equipped to perform.</w:t>
      </w:r>
    </w:p>
    <w:p w14:paraId="6B75E6B1" w14:textId="77777777" w:rsidR="00495A62" w:rsidRDefault="00000000">
      <w:pPr>
        <w:spacing w:before="120" w:after="120" w:line="280" w:lineRule="auto"/>
        <w:jc w:val="both"/>
      </w:pPr>
      <w:r>
        <w:t xml:space="preserve">Three specific </w:t>
      </w:r>
      <w:proofErr w:type="spellStart"/>
      <w:r>
        <w:t>StateRAMP</w:t>
      </w:r>
      <w:proofErr w:type="spellEnd"/>
      <w:r>
        <w:t xml:space="preserve"> mechanisms are worth examining for adaptation to the PoC subcontractor context. First, the authorization-to-operate model, under which a subcontractor performing defined categories of specialized PoC work, AI model development, cybersecurity architecture, data engineering, identity and access management, achieves a validated status recognized across participating jurisdictions without re-assessment. The validated status would cover the subcontractor's technical qualifications, security practices, data handling procedures, and professional standards in its defined domain. A prime assembling a PoC team could rely on the validated status of participating subcontractors as a baseline assurance without conducting independent due diligence for each procurement. Second, the continuous monitoring requirement, under which authorized subcontractors demonstrate ongoing compliance throughout the period of their PoC engagement rather than achieving a one-time pre-award certification. This addresses the specific PoC risk that novel technology performance cannot be fully assessed at contract award and must be verified throughout execution. Third, the reciprocity framework, under which authorization recognized by one participating jurisdiction is recognized by others, which is particularly important for the Article 3B consortium structure where multiple governments may be relying simultaneously on the same subcontractor's work under separately managed contracts.</w:t>
      </w:r>
    </w:p>
    <w:p w14:paraId="2520067E" w14:textId="77777777" w:rsidR="00495A62" w:rsidRDefault="00000000">
      <w:pPr>
        <w:spacing w:before="120" w:after="120" w:line="280" w:lineRule="auto"/>
        <w:jc w:val="both"/>
      </w:pPr>
      <w:r>
        <w:t xml:space="preserve">This paper recommends, in Part VIII, that NASPO in coordination with </w:t>
      </w:r>
      <w:proofErr w:type="spellStart"/>
      <w:r>
        <w:t>StateRAMP</w:t>
      </w:r>
      <w:proofErr w:type="spellEnd"/>
      <w:r>
        <w:t xml:space="preserve"> and the Multi-State Information Sharing and Analysis Center develop a PoC subcontractor prequalification framework that states can adopt as part of their </w:t>
      </w:r>
      <w:proofErr w:type="gramStart"/>
      <w:r>
        <w:t>Article</w:t>
      </w:r>
      <w:proofErr w:type="gramEnd"/>
      <w:r>
        <w:t xml:space="preserve"> 3B implementation toolkit. This recommendation does not require federal action and is achievable within the existing institutional infrastructure of state and local government procurement. The prequalification framework would complement rather than replace the flow-down clause structure: prequalification establishes baseline standards and reduces due diligence burden; flow-down clauses create direct accountability when those standards are not met. </w:t>
      </w:r>
      <w:r>
        <w:lastRenderedPageBreak/>
        <w:t>Together they address both the preventive and remedial dimensions of the subcontractor risk problem.</w:t>
      </w:r>
    </w:p>
    <w:p w14:paraId="58A5E2B8" w14:textId="77777777" w:rsidR="00495A62" w:rsidRDefault="00000000">
      <w:pPr>
        <w:spacing w:before="120" w:after="120" w:line="280" w:lineRule="auto"/>
        <w:jc w:val="both"/>
      </w:pPr>
      <w:proofErr w:type="gramStart"/>
      <w:r>
        <w:t>Taken</w:t>
      </w:r>
      <w:proofErr w:type="gramEnd"/>
      <w:r>
        <w:t xml:space="preserve"> together, the frameworks surveyed in this Part provide a convergent body of evidence for the design choices embodied in Article 3B. Their geographical and institutional diversity, spanning European Union directives, federal agency programs, and state and local initiatives across multiple technology domains, strengthens the inference that the design elements they share are robust rather than </w:t>
      </w:r>
      <w:proofErr w:type="gramStart"/>
      <w:r>
        <w:t>context-specific</w:t>
      </w:r>
      <w:proofErr w:type="gramEnd"/>
      <w:r>
        <w:t>. The following parts translate these design elements into specific MPC language and commentary.</w:t>
      </w:r>
    </w:p>
    <w:p w14:paraId="2966D434" w14:textId="1CE73D6A" w:rsidR="00495A62" w:rsidRDefault="00495A62" w:rsidP="00CC298D">
      <w:pPr>
        <w:spacing w:before="320" w:after="320"/>
      </w:pPr>
    </w:p>
    <w:p w14:paraId="46DE9DA5" w14:textId="77777777" w:rsidR="00CC298D" w:rsidRDefault="00CC298D">
      <w:pPr>
        <w:rPr>
          <w:b/>
          <w:bCs/>
          <w:caps/>
          <w:color w:val="2E4057"/>
          <w:sz w:val="28"/>
          <w:szCs w:val="28"/>
        </w:rPr>
      </w:pPr>
      <w:r>
        <w:rPr>
          <w:b/>
          <w:bCs/>
          <w:caps/>
          <w:color w:val="2E4057"/>
          <w:sz w:val="28"/>
          <w:szCs w:val="28"/>
        </w:rPr>
        <w:br w:type="page"/>
      </w:r>
    </w:p>
    <w:p w14:paraId="68E7A116" w14:textId="7B8C0D13"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IV: Proposed Article 3B — Innovation and Proof-of-Concept Procurements</w:t>
      </w:r>
    </w:p>
    <w:p w14:paraId="191BACCD" w14:textId="77777777" w:rsidR="00495A62" w:rsidRDefault="00000000">
      <w:pPr>
        <w:pStyle w:val="Heading2"/>
        <w:spacing w:before="360" w:after="140"/>
      </w:pPr>
      <w:r>
        <w:t>Prefatory Note on Drafting Conventions</w:t>
      </w:r>
    </w:p>
    <w:p w14:paraId="55C0E5D9" w14:textId="77777777" w:rsidR="00495A62" w:rsidRDefault="00000000">
      <w:pPr>
        <w:spacing w:before="120" w:after="120" w:line="280" w:lineRule="auto"/>
        <w:jc w:val="both"/>
      </w:pPr>
      <w:r>
        <w:t xml:space="preserve">The statutory language in this Part follows the drafting conventions of the 2000 ABA Model Procurement Code. Defined terms are capitalized when first introduced and thereafter used consistently. Subsections are designated by lower-case </w:t>
      </w:r>
      <w:proofErr w:type="gramStart"/>
      <w:r>
        <w:t>letters;</w:t>
      </w:r>
      <w:proofErr w:type="gramEnd"/>
      <w:r>
        <w:t xml:space="preserve"> sub-subsections by Arabic numerals. Each section is followed by an Official Comment, set in smaller italicized type and indented, which explains the purpose, logic, legal and practice support, and problems precluded by the section. The Official Comment is part of the working paper record and is intended to guide interpretation and adoption; it is not itself proposed as statutory language.</w:t>
      </w:r>
    </w:p>
    <w:p w14:paraId="643EAA92" w14:textId="77777777" w:rsidR="00495A62" w:rsidRDefault="00000000">
      <w:pPr>
        <w:spacing w:before="120" w:after="120" w:line="280" w:lineRule="auto"/>
        <w:jc w:val="both"/>
      </w:pPr>
      <w:r>
        <w:t xml:space="preserve">The proposed Article 3B is a new article to be inserted into the MPC following Article 3. It is a self-contained procedural framework. Conforming amendments to existing MPC articles are addressed in Part V. Where Article 3B cross-references </w:t>
      </w:r>
      <w:proofErr w:type="gramStart"/>
      <w:r>
        <w:t>existing</w:t>
      </w:r>
      <w:proofErr w:type="gramEnd"/>
      <w:r>
        <w:t xml:space="preserve"> MPC provisions, those references are to the 2000 MPC section numbering; adopting states should adjust cross-references to their enacted versions as appropriate.</w:t>
      </w:r>
    </w:p>
    <w:p w14:paraId="53227CBA" w14:textId="77777777" w:rsidR="00495A62" w:rsidRDefault="00000000">
      <w:pPr>
        <w:spacing w:before="120" w:after="120" w:line="280" w:lineRule="auto"/>
        <w:jc w:val="both"/>
      </w:pPr>
      <w:r>
        <w:t xml:space="preserve">Article 3B uses the term "Proof-of-Concept Procurement" or "PoC Procurement" to refer to the specialized procurement method authorized by this Article. The term "Proof-of-Concept Artifact" refers to the </w:t>
      </w:r>
      <w:proofErr w:type="gramStart"/>
      <w:r>
        <w:t>deliverable</w:t>
      </w:r>
      <w:proofErr w:type="gramEnd"/>
      <w:r>
        <w:t xml:space="preserve"> produced in each phase of a PoC Procurement. The term "Minimum Viable Product" or "MVP" refers to the Phase 3 output that satisfies the conditions for transition to production procurement under Section 3B-309. These terms are defined in Section 3B-101 and used consistently throughout the Article.</w:t>
      </w:r>
    </w:p>
    <w:p w14:paraId="6D17D5AB"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3B-101. Scope, Purpose, and Definitions.</w:t>
      </w:r>
    </w:p>
    <w:p w14:paraId="466CE2C1" w14:textId="77777777" w:rsidR="00495A62" w:rsidRDefault="00000000">
      <w:pPr>
        <w:spacing w:before="100" w:after="100" w:line="276" w:lineRule="auto"/>
        <w:ind w:left="720" w:right="360"/>
        <w:jc w:val="both"/>
      </w:pPr>
      <w:r>
        <w:t>(a) Purpose. This Article authorizes a specialized procurement method, designated Proof-of-Concept Procurement, for the acquisition of goods, services, or technologies that are Genuinely Novel, as defined in subsection (b). The purpose of this Article is to enable State and Local Governments to explore unknown solution spaces through competitive, phased, and empirically structured procurement processes while preserving the core values of competition, transparency, accountability, and fiduciary responsibility to citizens that govern all public procurement under this Code.</w:t>
      </w:r>
    </w:p>
    <w:p w14:paraId="5A43D3AA" w14:textId="77777777" w:rsidR="00495A62" w:rsidRDefault="00000000">
      <w:pPr>
        <w:spacing w:before="100" w:after="100" w:line="276" w:lineRule="auto"/>
        <w:ind w:left="720" w:right="360"/>
        <w:jc w:val="both"/>
      </w:pPr>
      <w:r>
        <w:t>(b) Definitions. As used in this Article:</w:t>
      </w:r>
    </w:p>
    <w:p w14:paraId="771BFA85" w14:textId="77777777" w:rsidR="00495A62" w:rsidRDefault="00000000">
      <w:pPr>
        <w:spacing w:before="80" w:after="80" w:line="276" w:lineRule="auto"/>
        <w:ind w:left="1080" w:right="360"/>
        <w:jc w:val="both"/>
      </w:pPr>
      <w:r>
        <w:t>(1) "Genuinely Novel" means a technology, service, or solution that (</w:t>
      </w:r>
      <w:proofErr w:type="spellStart"/>
      <w:r>
        <w:t>i</w:t>
      </w:r>
      <w:proofErr w:type="spellEnd"/>
      <w:r>
        <w:t xml:space="preserve">) is not commercially available in a form that meets the Procuring Government's </w:t>
      </w:r>
      <w:r>
        <w:lastRenderedPageBreak/>
        <w:t>documented functional need, as demonstrated by market research conducted within the preceding twelve months showing fewer than two equivalent market offerings; and (ii) cannot be fully specified in advance because the means of achieving the government's functional need are uncertain or unknown to the market as a whole, not merely to the Procuring Government.</w:t>
      </w:r>
    </w:p>
    <w:p w14:paraId="0766B163" w14:textId="77777777" w:rsidR="00495A62" w:rsidRDefault="00000000">
      <w:pPr>
        <w:spacing w:before="80" w:after="80" w:line="276" w:lineRule="auto"/>
        <w:ind w:left="1080" w:right="360"/>
        <w:jc w:val="both"/>
      </w:pPr>
      <w:r>
        <w:t>(2) "Proof-of-Concept Procurement" or "PoC Procurement" means the source selection method authorized by this Article for procurement of Genuinely Novel goods, services, or technologies through a phased, multi-vendor competitive process.</w:t>
      </w:r>
    </w:p>
    <w:p w14:paraId="09AFDA31" w14:textId="77777777" w:rsidR="00495A62" w:rsidRDefault="00000000">
      <w:pPr>
        <w:spacing w:before="80" w:after="80" w:line="276" w:lineRule="auto"/>
        <w:ind w:left="1080" w:right="360"/>
        <w:jc w:val="both"/>
      </w:pPr>
      <w:r>
        <w:t>(3) "Proof-of-Concept Artifact" or "PoC Artifact" means the deliverable produced by a participating vendor in any phase of a PoC Procurement, consisting of the work product, findings, prototypes, data, and documentation generated in that phase.</w:t>
      </w:r>
    </w:p>
    <w:p w14:paraId="3A523842" w14:textId="77777777" w:rsidR="00495A62" w:rsidRDefault="00000000">
      <w:pPr>
        <w:spacing w:before="80" w:after="80" w:line="276" w:lineRule="auto"/>
        <w:ind w:left="1080" w:right="360"/>
        <w:jc w:val="both"/>
      </w:pPr>
      <w:r>
        <w:t>(4) "Minimum Viable Product" or "MVP" means the Phase 3 PoC Artifact that has been accepted by the Procuring Government as satisfying the Phase 3 acceptance criteria under Section 3B-203(c) and that constitutes the functional baseline for production procurement under Section 3B-309.</w:t>
      </w:r>
    </w:p>
    <w:p w14:paraId="7F450720" w14:textId="77777777" w:rsidR="00495A62" w:rsidRDefault="00000000">
      <w:pPr>
        <w:spacing w:before="80" w:after="80" w:line="276" w:lineRule="auto"/>
        <w:ind w:left="1080" w:right="360"/>
        <w:jc w:val="both"/>
      </w:pPr>
      <w:r>
        <w:t>(5) "Procuring Government" means the State or Local Government that has authorized and is conducting a PoC Procurement under this Article, or, in a Consortium Procurement under Section 3B-205, the Lead Buyer.</w:t>
      </w:r>
    </w:p>
    <w:p w14:paraId="162F5DF3" w14:textId="77777777" w:rsidR="00495A62" w:rsidRDefault="00000000">
      <w:pPr>
        <w:spacing w:before="80" w:after="80" w:line="276" w:lineRule="auto"/>
        <w:ind w:left="1080" w:right="360"/>
        <w:jc w:val="both"/>
      </w:pPr>
      <w:r>
        <w:t>(6) "Live System" means any production information system, database, platform, or infrastructure component that is actively used to deliver services to citizens, process citizen data, or support operational government functions at the time of the PoC Procurement.</w:t>
      </w:r>
    </w:p>
    <w:p w14:paraId="3233E88D" w14:textId="77777777" w:rsidR="00495A62" w:rsidRDefault="00000000">
      <w:pPr>
        <w:spacing w:before="80" w:after="80" w:line="276" w:lineRule="auto"/>
        <w:ind w:left="1080" w:right="360"/>
        <w:jc w:val="both"/>
      </w:pPr>
      <w:r>
        <w:t>(7) "Sandboxed Environment" means an isolated computing environment containing representative but non-production data that replicates the functional characteristics of a Live System without connection to or dependency on production data or operational systems.</w:t>
      </w:r>
    </w:p>
    <w:p w14:paraId="0C6D48AF" w14:textId="77777777" w:rsidR="00495A62" w:rsidRDefault="00000000">
      <w:pPr>
        <w:spacing w:before="80" w:after="80" w:line="276" w:lineRule="auto"/>
        <w:ind w:left="1080" w:right="360"/>
        <w:jc w:val="both"/>
      </w:pPr>
      <w:r>
        <w:t>(8) "Citizen Data" means any data that identifies, pertains to, or is derived from individual citizens in the Procuring Government's jurisdiction, including data generated or processed in connection with the delivery of government services, the administration of civic rights, or the operation of citizen-facing systems.</w:t>
      </w:r>
    </w:p>
    <w:p w14:paraId="578A24C9" w14:textId="77777777" w:rsidR="00495A62" w:rsidRDefault="00000000">
      <w:pPr>
        <w:spacing w:before="80" w:after="80" w:line="276" w:lineRule="auto"/>
        <w:ind w:left="1080" w:right="360"/>
        <w:jc w:val="both"/>
      </w:pPr>
      <w:r>
        <w:t>(9) "Foreground Intellectual Property" means intellectual property created by a vendor during the performance of a PoC Procurement contract.</w:t>
      </w:r>
    </w:p>
    <w:p w14:paraId="69B20A3C" w14:textId="77777777" w:rsidR="00495A62" w:rsidRDefault="00000000">
      <w:pPr>
        <w:spacing w:before="80" w:after="80" w:line="276" w:lineRule="auto"/>
        <w:ind w:left="1080" w:right="360"/>
        <w:jc w:val="both"/>
      </w:pPr>
      <w:r>
        <w:lastRenderedPageBreak/>
        <w:t>(10) "Background Intellectual Property" means intellectual property owned by a vendor prior to the commencement of a PoC Procurement contract and used in the performance of that contract.</w:t>
      </w:r>
    </w:p>
    <w:p w14:paraId="6E3F8A1E" w14:textId="77777777" w:rsidR="00495A62" w:rsidRDefault="00000000">
      <w:pPr>
        <w:spacing w:before="100" w:after="100" w:line="276" w:lineRule="auto"/>
        <w:ind w:left="720" w:right="360"/>
        <w:jc w:val="both"/>
      </w:pPr>
      <w:r>
        <w:t>(c) Authorization Findings. A PoC Procurement may be authorized only upon the Procurement Officer's written determination, included in the procurement file, that:</w:t>
      </w:r>
    </w:p>
    <w:p w14:paraId="16A29770" w14:textId="77777777" w:rsidR="00495A62" w:rsidRDefault="00000000">
      <w:pPr>
        <w:spacing w:before="80" w:after="80" w:line="276" w:lineRule="auto"/>
        <w:ind w:left="1080" w:right="360"/>
        <w:jc w:val="both"/>
      </w:pPr>
      <w:r>
        <w:t xml:space="preserve">(1) the procurement meets the definition of Genuinely Novel under subsection (b)(1), supported by documented market </w:t>
      </w:r>
      <w:proofErr w:type="gramStart"/>
      <w:r>
        <w:t>research;</w:t>
      </w:r>
      <w:proofErr w:type="gramEnd"/>
    </w:p>
    <w:p w14:paraId="769864F2" w14:textId="77777777" w:rsidR="00495A62" w:rsidRDefault="00000000">
      <w:pPr>
        <w:spacing w:before="80" w:after="80" w:line="276" w:lineRule="auto"/>
        <w:ind w:left="1080" w:right="360"/>
        <w:jc w:val="both"/>
      </w:pPr>
      <w:r>
        <w:t xml:space="preserve">(2) no existing source selection method available under Article 3 of this Code would adequately serve the government's functional need without material risk of solution bias, inadequate competition, or premature vendor lock-in, as those terms are described in the Official Comment to this </w:t>
      </w:r>
      <w:proofErr w:type="gramStart"/>
      <w:r>
        <w:t>section;</w:t>
      </w:r>
      <w:proofErr w:type="gramEnd"/>
    </w:p>
    <w:p w14:paraId="4F65A022" w14:textId="77777777" w:rsidR="00495A62" w:rsidRDefault="00000000">
      <w:pPr>
        <w:spacing w:before="80" w:after="80" w:line="276" w:lineRule="auto"/>
        <w:ind w:left="1080" w:right="360"/>
        <w:jc w:val="both"/>
      </w:pPr>
      <w:r>
        <w:t>(3) where the PoC Procurement involves Citizen Data or citizen-facing services, a Citizen Impact Assessment has been completed as required by subsection (d); and</w:t>
      </w:r>
    </w:p>
    <w:p w14:paraId="08BD1AE3" w14:textId="77777777" w:rsidR="00495A62" w:rsidRDefault="00000000">
      <w:pPr>
        <w:spacing w:before="80" w:after="80" w:line="276" w:lineRule="auto"/>
        <w:ind w:left="1080" w:right="360"/>
        <w:jc w:val="both"/>
      </w:pPr>
      <w:r>
        <w:t>(4) sufficient resources, including personnel with adequate technical competence or access to independent technical expertise, are available to administer the PoC Procurement through all phases.</w:t>
      </w:r>
    </w:p>
    <w:p w14:paraId="59BD2478" w14:textId="77777777" w:rsidR="00495A62" w:rsidRDefault="00000000">
      <w:pPr>
        <w:spacing w:before="100" w:after="100" w:line="276" w:lineRule="auto"/>
        <w:ind w:left="720" w:right="360"/>
        <w:jc w:val="both"/>
      </w:pPr>
      <w:r>
        <w:t>(d) Citizen Impact Assessment. Where a proposed PoC Procurement involves Citizen Data or citizen-facing services, the Procurement Officer shall, before issuing any solicitation, prepare and include in the procurement file a written Citizen Impact Assessment documenting:</w:t>
      </w:r>
    </w:p>
    <w:p w14:paraId="482CFDAA" w14:textId="77777777" w:rsidR="00495A62" w:rsidRDefault="00000000">
      <w:pPr>
        <w:spacing w:before="80" w:after="80" w:line="276" w:lineRule="auto"/>
        <w:ind w:left="1080" w:right="360"/>
        <w:jc w:val="both"/>
      </w:pPr>
      <w:r>
        <w:t xml:space="preserve">(1) the nature and scope of citizen interests implicated by the PoC Procurement, including the categories of Citizen Data that will be accessed, generated, or </w:t>
      </w:r>
      <w:proofErr w:type="gramStart"/>
      <w:r>
        <w:t>processed;</w:t>
      </w:r>
      <w:proofErr w:type="gramEnd"/>
    </w:p>
    <w:p w14:paraId="010C3615" w14:textId="77777777" w:rsidR="00495A62" w:rsidRDefault="00000000">
      <w:pPr>
        <w:spacing w:before="80" w:after="80" w:line="276" w:lineRule="auto"/>
        <w:ind w:left="1080" w:right="360"/>
        <w:jc w:val="both"/>
      </w:pPr>
      <w:r>
        <w:t xml:space="preserve">(2) the specific risks to citizen interests if the PoC fails, is misused, produces erroneous outputs, or results in a security breach or service </w:t>
      </w:r>
      <w:proofErr w:type="gramStart"/>
      <w:r>
        <w:t>interruption;</w:t>
      </w:r>
      <w:proofErr w:type="gramEnd"/>
    </w:p>
    <w:p w14:paraId="4C837681" w14:textId="77777777" w:rsidR="00495A62" w:rsidRDefault="00000000">
      <w:pPr>
        <w:spacing w:before="80" w:after="80" w:line="276" w:lineRule="auto"/>
        <w:ind w:left="1080" w:right="360"/>
        <w:jc w:val="both"/>
      </w:pPr>
      <w:r>
        <w:t>(3) the measures in place throughout all phases of the PoC Procurement to protect citizen interests, including data protection safeguards, service continuity plans, and security controls; and</w:t>
      </w:r>
    </w:p>
    <w:p w14:paraId="6A661984" w14:textId="77777777" w:rsidR="00495A62" w:rsidRDefault="00000000">
      <w:pPr>
        <w:spacing w:before="80" w:after="80" w:line="276" w:lineRule="auto"/>
        <w:ind w:left="1080" w:right="360"/>
        <w:jc w:val="both"/>
      </w:pPr>
      <w:r>
        <w:t>(4) the notification plan for citizens dependent on any service that may be affected during Phase 3 live system testing under Section 3B-203(c).</w:t>
      </w:r>
    </w:p>
    <w:p w14:paraId="69EDBC69" w14:textId="77777777" w:rsidR="00495A62" w:rsidRDefault="00000000">
      <w:pPr>
        <w:spacing w:before="100" w:after="100" w:line="276" w:lineRule="auto"/>
        <w:ind w:left="720" w:right="360"/>
        <w:jc w:val="both"/>
      </w:pPr>
      <w:r>
        <w:t xml:space="preserve">(e) Public Notice. Upon completing the Authorization Findings under subsection (c), the Procurement Officer shall publish a notice of intent to conduct a PoC Procurement in the manner prescribed for public notices under this Code, describing the functional need to be addressed, the intended number </w:t>
      </w:r>
      <w:r>
        <w:lastRenderedPageBreak/>
        <w:t>of phases, and the anticipated timeline. The notice shall be published not fewer than fourteen days before the issuance of any Phase 1 solicitation.</w:t>
      </w:r>
    </w:p>
    <w:p w14:paraId="6061F1B8" w14:textId="77777777" w:rsidR="00495A62" w:rsidRDefault="00000000">
      <w:pPr>
        <w:spacing w:before="200" w:after="80"/>
        <w:ind w:left="720"/>
      </w:pPr>
      <w:r>
        <w:rPr>
          <w:b/>
          <w:bCs/>
          <w:caps/>
          <w:color w:val="2E4057"/>
          <w:sz w:val="22"/>
          <w:szCs w:val="22"/>
        </w:rPr>
        <w:t>OFFICIAL COMMENT</w:t>
      </w:r>
    </w:p>
    <w:p w14:paraId="2882F710" w14:textId="77777777" w:rsidR="00495A62" w:rsidRDefault="00000000">
      <w:pPr>
        <w:spacing w:before="140" w:after="60"/>
        <w:ind w:left="720"/>
      </w:pPr>
      <w:r>
        <w:rPr>
          <w:b/>
          <w:bCs/>
          <w:color w:val="2E4057"/>
          <w:sz w:val="22"/>
          <w:szCs w:val="22"/>
        </w:rPr>
        <w:t>Purpose and Design</w:t>
      </w:r>
    </w:p>
    <w:p w14:paraId="434CE4C6" w14:textId="77777777" w:rsidR="00495A62" w:rsidRDefault="00000000">
      <w:pPr>
        <w:spacing w:before="100" w:after="100" w:line="260" w:lineRule="auto"/>
        <w:ind w:left="720" w:right="360"/>
        <w:jc w:val="both"/>
      </w:pPr>
      <w:r>
        <w:rPr>
          <w:i/>
          <w:iCs/>
          <w:color w:val="333333"/>
          <w:sz w:val="22"/>
          <w:szCs w:val="22"/>
        </w:rPr>
        <w:t xml:space="preserve">Section 3B-101 performs three functions simultaneously. It defines the jurisdictional boundary of Article 3B: only procurements meeting the Genuinely Novel standard may use this method, preventing the gradual expansion of PoC Procurement to cover ordinary technology acquisitions where existing Article 3 methods are adequate. It establishes the administrative record requirements that protect the Procuring Government against protests at the outset: </w:t>
      </w:r>
      <w:proofErr w:type="gramStart"/>
      <w:r>
        <w:rPr>
          <w:i/>
          <w:iCs/>
          <w:color w:val="333333"/>
          <w:sz w:val="22"/>
          <w:szCs w:val="22"/>
        </w:rPr>
        <w:t>a documented market research</w:t>
      </w:r>
      <w:proofErr w:type="gramEnd"/>
      <w:r>
        <w:rPr>
          <w:i/>
          <w:iCs/>
          <w:color w:val="333333"/>
          <w:sz w:val="22"/>
          <w:szCs w:val="22"/>
        </w:rPr>
        <w:t xml:space="preserve"> finding, a written determination of inadequacy of existing methods, and a Citizen Impact Assessment where applicable. And it operationalizes the fiduciary dimension of government PoC procurement through the Citizen Impact Assessment requirement without introducing explicit fiduciary language into the statutory text.</w:t>
      </w:r>
    </w:p>
    <w:p w14:paraId="77F1501A" w14:textId="77777777" w:rsidR="00495A62" w:rsidRDefault="00000000">
      <w:pPr>
        <w:spacing w:before="140" w:after="60"/>
        <w:ind w:left="720"/>
      </w:pPr>
      <w:r>
        <w:rPr>
          <w:b/>
          <w:bCs/>
          <w:color w:val="2E4057"/>
          <w:sz w:val="22"/>
          <w:szCs w:val="22"/>
        </w:rPr>
        <w:t>The Genuinely Novel Standard</w:t>
      </w:r>
    </w:p>
    <w:p w14:paraId="7F9ADCEB" w14:textId="77777777" w:rsidR="00495A62" w:rsidRDefault="00000000">
      <w:pPr>
        <w:spacing w:before="100" w:after="100" w:line="260" w:lineRule="auto"/>
        <w:ind w:left="720" w:right="360"/>
        <w:jc w:val="both"/>
      </w:pPr>
      <w:r>
        <w:rPr>
          <w:i/>
          <w:iCs/>
          <w:color w:val="333333"/>
          <w:sz w:val="22"/>
          <w:szCs w:val="22"/>
        </w:rPr>
        <w:t xml:space="preserve">The two-part definition in subsection (b)(1) is designed to be administrable and protest-resistant while capturing the category of procurement this Article is designed to serve. The "fewer than two equivalent market offerings" threshold is drawn from Maryland COMAR 21.05.16 and has proven durable against administrative challenge in Maryland's experience. The second criterion, market-wide specification uncertainty, distinguishes Genuinely Novel procurement from ordinary innovative procurement where the solution space is known even if options are varied. Both criteria must be satisfied. A technology that has no current market </w:t>
      </w:r>
      <w:proofErr w:type="gramStart"/>
      <w:r>
        <w:rPr>
          <w:i/>
          <w:iCs/>
          <w:color w:val="333333"/>
          <w:sz w:val="22"/>
          <w:szCs w:val="22"/>
        </w:rPr>
        <w:t>offerings</w:t>
      </w:r>
      <w:proofErr w:type="gramEnd"/>
      <w:r>
        <w:rPr>
          <w:i/>
          <w:iCs/>
          <w:color w:val="333333"/>
          <w:sz w:val="22"/>
          <w:szCs w:val="22"/>
        </w:rPr>
        <w:t xml:space="preserve"> but whose design is well understood, such as a custom database schema, does not qualify. A technology with multiple market offerings but no deployable solution meeting the government's specific functional need, such as large language model AI systems for specific government use cases as of 2022 and 2023, qualifies under both criteria. The twelve-month currency requirement for market research prevents agencies from relying on stale findings to justify PoC status for technologies that have since reached commercial maturity.</w:t>
      </w:r>
    </w:p>
    <w:p w14:paraId="731A1DBA" w14:textId="77777777" w:rsidR="00495A62" w:rsidRDefault="00000000">
      <w:pPr>
        <w:spacing w:before="140" w:after="60"/>
        <w:ind w:left="720"/>
      </w:pPr>
      <w:r>
        <w:rPr>
          <w:b/>
          <w:bCs/>
          <w:color w:val="2E4057"/>
          <w:sz w:val="22"/>
          <w:szCs w:val="22"/>
        </w:rPr>
        <w:t>The Fiduciary Dimension</w:t>
      </w:r>
    </w:p>
    <w:p w14:paraId="4BF35A3C" w14:textId="77777777" w:rsidR="00495A62" w:rsidRDefault="00000000">
      <w:pPr>
        <w:spacing w:before="100" w:after="100" w:line="260" w:lineRule="auto"/>
        <w:ind w:left="720" w:right="360"/>
        <w:jc w:val="both"/>
      </w:pPr>
      <w:r>
        <w:rPr>
          <w:i/>
          <w:iCs/>
          <w:color w:val="333333"/>
          <w:sz w:val="22"/>
          <w:szCs w:val="22"/>
        </w:rPr>
        <w:t xml:space="preserve">The Citizen Impact Assessment requirement in subsection (d) operationalizes the pre-existing fiduciary obligation of government to citizens whose data, services, and institutional interests are implicated in novel technology procurement. This obligation is not created by this Article; it arises from the constitutional and common law relationship between government and citizen and from the structural fact that citizens cannot withdraw from their relationship with government the way a commercial counterparty can withdraw from a transaction. The Fiduciary Commons framework, which proposes constitutional architecture for government stewardship of citizen data and civic information systems, articulates this obligation with particular clarity: the government holds Citizen Data and manages citizen-facing services as a trustee, and a procurement that exposes those assets to novel technology risk without explicit trustee-level analysis of the consequences is a breach of that trust, regardless of whether the procurement is otherwise procedurally correct. The Citizen Impact </w:t>
      </w:r>
      <w:r>
        <w:rPr>
          <w:i/>
          <w:iCs/>
          <w:color w:val="333333"/>
          <w:sz w:val="22"/>
          <w:szCs w:val="22"/>
        </w:rPr>
        <w:lastRenderedPageBreak/>
        <w:t>Assessment implements the trustee's duty of care, duty of loyalty, and duty of disclosure at the procurement authorization stage, before any vendor relationship is established. Adopting states may wish to cross-reference applicable state data protection statutes in subsection (d) to ensure consistency with existing citizen data obligations.</w:t>
      </w:r>
    </w:p>
    <w:p w14:paraId="51D99EC4" w14:textId="77777777" w:rsidR="00495A62" w:rsidRDefault="00000000">
      <w:pPr>
        <w:spacing w:before="140" w:after="60"/>
        <w:ind w:left="720"/>
      </w:pPr>
      <w:r>
        <w:rPr>
          <w:b/>
          <w:bCs/>
          <w:color w:val="2E4057"/>
          <w:sz w:val="22"/>
          <w:szCs w:val="22"/>
        </w:rPr>
        <w:t>Problems Precluded</w:t>
      </w:r>
    </w:p>
    <w:p w14:paraId="24AC9F6B" w14:textId="77777777" w:rsidR="00495A62" w:rsidRDefault="00000000">
      <w:pPr>
        <w:spacing w:before="100" w:after="100" w:line="260" w:lineRule="auto"/>
        <w:ind w:left="720" w:right="360"/>
        <w:jc w:val="both"/>
      </w:pPr>
      <w:r>
        <w:rPr>
          <w:i/>
          <w:iCs/>
          <w:color w:val="333333"/>
          <w:sz w:val="22"/>
          <w:szCs w:val="22"/>
        </w:rPr>
        <w:t>The Authorization Findings requirement in subsection (c) precludes the most common protest ground against PoC Procurements conducted under existing MPC methods: the claim that the agency failed to justify its departure from competitive sealed bidding or competitive sealed proposals. By creating a documented administrative record at the outset, Section 3B-101 shifts the protest burden to the protester, who must attack either the factual adequacy of the market research, the soundness of the procurement officer's determination of method inadequacy, or the sufficiency of the Citizen Impact Assessment. Each of these is a factual challenge requiring evidentiary support, not a pure legal argument that the method is unauthorized. The fourteen-day public notice requirement in subsection (e) precludes later claims that the PoC Procurement was conducted without adequate public transparency and provides potential protesters with early notice and an opportunity to challenge the authorization findings before the solicitation is issued.</w:t>
      </w:r>
    </w:p>
    <w:p w14:paraId="0D6C9A06"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3B-202. Specifications and Pre-Solicitation Market Consultation.</w:t>
      </w:r>
    </w:p>
    <w:p w14:paraId="1A5D9CF7" w14:textId="77777777" w:rsidR="00495A62" w:rsidRDefault="00000000">
      <w:pPr>
        <w:spacing w:before="100" w:after="100" w:line="276" w:lineRule="auto"/>
        <w:ind w:left="720" w:right="360"/>
        <w:jc w:val="both"/>
      </w:pPr>
      <w:r>
        <w:t>(a) Outcome-Based Specifications Required. Specifications for a PoC Procurement shall describe the functional need, desired outcomes, and measurable performance criteria that the PoC is designed to explore. Specifications shall not prescribe the technical means, methods, technologies, or solution architecture by which the functional need is to be met, unless the Procurement Officer determines in writing that prescription of a specific technical approach is necessary to protect existing infrastructure compatibility, legal obligations, or security requirements, and that determination is included in the procurement file.</w:t>
      </w:r>
    </w:p>
    <w:p w14:paraId="145B7FD5" w14:textId="77777777" w:rsidR="00495A62" w:rsidRDefault="00000000">
      <w:pPr>
        <w:spacing w:before="100" w:after="100" w:line="276" w:lineRule="auto"/>
        <w:ind w:left="720" w:right="360"/>
        <w:jc w:val="both"/>
      </w:pPr>
      <w:r>
        <w:t>(b) Specification Content. Outcome-based specifications under this section shall include, at a minimum:</w:t>
      </w:r>
    </w:p>
    <w:p w14:paraId="1543C887" w14:textId="77777777" w:rsidR="00495A62" w:rsidRDefault="00000000">
      <w:pPr>
        <w:spacing w:before="80" w:after="80" w:line="276" w:lineRule="auto"/>
        <w:ind w:left="1080" w:right="360"/>
        <w:jc w:val="both"/>
      </w:pPr>
      <w:r>
        <w:t xml:space="preserve">(1) a clear statement of the functional need or problem the PoC Procurement is designed to address, expressed in terms of the operational outcomes the Procuring Government </w:t>
      </w:r>
      <w:proofErr w:type="gramStart"/>
      <w:r>
        <w:t>seeks;</w:t>
      </w:r>
      <w:proofErr w:type="gramEnd"/>
    </w:p>
    <w:p w14:paraId="647094B8" w14:textId="77777777" w:rsidR="00495A62" w:rsidRDefault="00000000">
      <w:pPr>
        <w:spacing w:before="80" w:after="80" w:line="276" w:lineRule="auto"/>
        <w:ind w:left="1080" w:right="360"/>
        <w:jc w:val="both"/>
      </w:pPr>
      <w:r>
        <w:t xml:space="preserve">(2) measurable performance criteria against which PoC Artifacts will be evaluated at each phase, including baseline performance data where available and the minimum acceptable performance threshold for each phase </w:t>
      </w:r>
      <w:proofErr w:type="gramStart"/>
      <w:r>
        <w:t>transition;</w:t>
      </w:r>
      <w:proofErr w:type="gramEnd"/>
    </w:p>
    <w:p w14:paraId="4E064117" w14:textId="77777777" w:rsidR="00495A62" w:rsidRDefault="00000000">
      <w:pPr>
        <w:spacing w:before="80" w:after="80" w:line="276" w:lineRule="auto"/>
        <w:ind w:left="1080" w:right="360"/>
        <w:jc w:val="both"/>
      </w:pPr>
      <w:r>
        <w:lastRenderedPageBreak/>
        <w:t xml:space="preserve">(3) the operational and technical environment in which the proposed solution must function, including applicable security, interoperability, and data handling </w:t>
      </w:r>
      <w:proofErr w:type="gramStart"/>
      <w:r>
        <w:t>requirements;</w:t>
      </w:r>
      <w:proofErr w:type="gramEnd"/>
    </w:p>
    <w:p w14:paraId="60FBFEEC" w14:textId="77777777" w:rsidR="00495A62" w:rsidRDefault="00000000">
      <w:pPr>
        <w:spacing w:before="80" w:after="80" w:line="276" w:lineRule="auto"/>
        <w:ind w:left="1080" w:right="360"/>
        <w:jc w:val="both"/>
      </w:pPr>
      <w:r>
        <w:t>(4) constraints that apply to all proposed solutions, including applicable law, budget parameters, and service continuity requirements; and</w:t>
      </w:r>
    </w:p>
    <w:p w14:paraId="3E6F8F55" w14:textId="77777777" w:rsidR="00495A62" w:rsidRDefault="00000000">
      <w:pPr>
        <w:spacing w:before="80" w:after="80" w:line="276" w:lineRule="auto"/>
        <w:ind w:left="1080" w:right="360"/>
        <w:jc w:val="both"/>
      </w:pPr>
      <w:r>
        <w:t xml:space="preserve">(5) a statement that proposed solutions are not limited to any </w:t>
      </w:r>
      <w:proofErr w:type="gramStart"/>
      <w:r>
        <w:t>particular technology</w:t>
      </w:r>
      <w:proofErr w:type="gramEnd"/>
      <w:r>
        <w:t>, architecture, or class of solution and that vendors offering unconventional or cross-domain approaches are affirmatively encouraged to respond.</w:t>
      </w:r>
    </w:p>
    <w:p w14:paraId="58DA836C" w14:textId="77777777" w:rsidR="00495A62" w:rsidRDefault="00000000">
      <w:pPr>
        <w:spacing w:before="100" w:after="100" w:line="276" w:lineRule="auto"/>
        <w:ind w:left="720" w:right="360"/>
        <w:jc w:val="both"/>
      </w:pPr>
      <w:r>
        <w:t>(c) Pre-Solicitation Open Market Consultation. Before issuing any Phase 1 solicitation, the Procurement Officer shall conduct an Open Market Consultation consisting of:</w:t>
      </w:r>
    </w:p>
    <w:p w14:paraId="51F0B461" w14:textId="77777777" w:rsidR="00495A62" w:rsidRDefault="00000000">
      <w:pPr>
        <w:spacing w:before="80" w:after="80" w:line="276" w:lineRule="auto"/>
        <w:ind w:left="1080" w:right="360"/>
        <w:jc w:val="both"/>
      </w:pPr>
      <w:r>
        <w:t xml:space="preserve">(1) publication of a draft problem statement describing the functional need in outcome-based terms, without technical prescription, with a public comment period of not fewer than thirty </w:t>
      </w:r>
      <w:proofErr w:type="gramStart"/>
      <w:r>
        <w:t>days;</w:t>
      </w:r>
      <w:proofErr w:type="gramEnd"/>
    </w:p>
    <w:p w14:paraId="1A44C788" w14:textId="77777777" w:rsidR="00495A62" w:rsidRDefault="00000000">
      <w:pPr>
        <w:spacing w:before="80" w:after="80" w:line="276" w:lineRule="auto"/>
        <w:ind w:left="1080" w:right="360"/>
        <w:jc w:val="both"/>
      </w:pPr>
      <w:r>
        <w:t>(2) at least one publicly noticed industry forum or request for information session at which potential vendors may present alternative conceptual approaches to the functional need; and</w:t>
      </w:r>
    </w:p>
    <w:p w14:paraId="5BA75B29" w14:textId="77777777" w:rsidR="00495A62" w:rsidRDefault="00000000">
      <w:pPr>
        <w:spacing w:before="80" w:after="80" w:line="276" w:lineRule="auto"/>
        <w:ind w:left="1080" w:right="360"/>
        <w:jc w:val="both"/>
      </w:pPr>
      <w:r>
        <w:t>(3) preparation of a written Market Consultation Summary documenting the alternative approaches identified, the Procurement Officer's assessment of each, and the rationale for the outcome-based specification as finalized.</w:t>
      </w:r>
    </w:p>
    <w:p w14:paraId="3E611AEC" w14:textId="77777777" w:rsidR="00495A62" w:rsidRDefault="00000000">
      <w:pPr>
        <w:spacing w:before="100" w:after="100" w:line="276" w:lineRule="auto"/>
        <w:ind w:left="720" w:right="360"/>
        <w:jc w:val="both"/>
      </w:pPr>
      <w:r>
        <w:t>(d) Market Consultation Summary as Part of Record. The Market Consultation Summary required by subsection (c)(3) shall be included in the procurement file and shall be made publicly available concurrently with the issuance of the Phase 1 solicitation. The Summary serves as the primary documentation that the Procuring Government actively sought alternative approaches, including approaches it had not previously considered, before finalizing the specification.</w:t>
      </w:r>
    </w:p>
    <w:p w14:paraId="2E52A035" w14:textId="77777777" w:rsidR="00495A62" w:rsidRDefault="00000000">
      <w:pPr>
        <w:spacing w:before="100" w:after="100" w:line="276" w:lineRule="auto"/>
        <w:ind w:left="720" w:right="360"/>
        <w:jc w:val="both"/>
      </w:pPr>
      <w:r>
        <w:t>(e) Specification Compliance Standard. Outcome-based specifications issued under this section shall be deemed compliant with the requirement to maximize competition under Section 4-102 of this Code when they result in three or more responsive proposals from vendors offering materially different technical approaches to the stated functional need. Where fewer than three materially different approaches are received, the Procurement Officer shall assess whether the specification may have inadvertently narrowed the solution space and shall document that assessment in the procurement file before proceeding.</w:t>
      </w:r>
    </w:p>
    <w:p w14:paraId="32D8EE3E" w14:textId="77777777" w:rsidR="00495A62" w:rsidRDefault="00000000">
      <w:pPr>
        <w:spacing w:before="200" w:after="80"/>
        <w:ind w:left="720"/>
      </w:pPr>
      <w:r>
        <w:rPr>
          <w:b/>
          <w:bCs/>
          <w:caps/>
          <w:color w:val="2E4057"/>
          <w:sz w:val="22"/>
          <w:szCs w:val="22"/>
        </w:rPr>
        <w:t>OFFICIAL COMMENT</w:t>
      </w:r>
    </w:p>
    <w:p w14:paraId="473883F5" w14:textId="77777777" w:rsidR="00495A62" w:rsidRDefault="00000000">
      <w:pPr>
        <w:spacing w:before="140" w:after="60"/>
        <w:ind w:left="720"/>
      </w:pPr>
      <w:r>
        <w:rPr>
          <w:b/>
          <w:bCs/>
          <w:color w:val="2E4057"/>
          <w:sz w:val="22"/>
          <w:szCs w:val="22"/>
        </w:rPr>
        <w:t>Purpose and Design</w:t>
      </w:r>
    </w:p>
    <w:p w14:paraId="5E2B3A20" w14:textId="77777777" w:rsidR="00495A62" w:rsidRDefault="00000000">
      <w:pPr>
        <w:spacing w:before="100" w:after="100" w:line="260" w:lineRule="auto"/>
        <w:ind w:left="720" w:right="360"/>
        <w:jc w:val="both"/>
      </w:pPr>
      <w:r>
        <w:rPr>
          <w:i/>
          <w:iCs/>
          <w:color w:val="333333"/>
          <w:sz w:val="22"/>
          <w:szCs w:val="22"/>
        </w:rPr>
        <w:lastRenderedPageBreak/>
        <w:t>Section 3B-202 addresses what Part II of this working paper calls the solution bias problem: the systematic tendency of procurement specifications to describe means rather than ends, foreclosing genuinely alternative approaches before the exploration begins. The section inverts the conventional specification assumption. Under existing Section 4-102, the requirement to maximize competition is implemented through brand neutrality: the specification should not favor a particular vendor's product. Section 3B-202 extends that principle to solution neutrality: the specification should not favor a particular class of solution. For Genuinely Novel procurement, solution neutrality is more important than brand neutrality, because the risk of foreclosing the optimal solution class is higher than the risk of favoring a particular vendor within a known solution class.</w:t>
      </w:r>
    </w:p>
    <w:p w14:paraId="3B61BB96" w14:textId="77777777" w:rsidR="00495A62" w:rsidRDefault="00000000">
      <w:pPr>
        <w:spacing w:before="140" w:after="60"/>
        <w:ind w:left="720"/>
      </w:pPr>
      <w:r>
        <w:rPr>
          <w:b/>
          <w:bCs/>
          <w:color w:val="2E4057"/>
          <w:sz w:val="22"/>
          <w:szCs w:val="22"/>
        </w:rPr>
        <w:t>The Pre-Solicitation Open Market Consultation</w:t>
      </w:r>
    </w:p>
    <w:p w14:paraId="2F663ACA" w14:textId="77777777" w:rsidR="00495A62" w:rsidRDefault="00000000">
      <w:pPr>
        <w:spacing w:before="100" w:after="100" w:line="260" w:lineRule="auto"/>
        <w:ind w:left="720" w:right="360"/>
        <w:jc w:val="both"/>
      </w:pPr>
      <w:r>
        <w:rPr>
          <w:i/>
          <w:iCs/>
          <w:color w:val="333333"/>
          <w:sz w:val="22"/>
          <w:szCs w:val="22"/>
        </w:rPr>
        <w:t xml:space="preserve">The thirty-day Open Market Consultation required by subsection (c) serves two distinct purposes that should be understood separately. Its primary legal purpose is to create a documented administrative record that the Procuring Government actively sought alternative approaches before finalizing the specification. This record is the principal defense against a later protest claiming that the outcome-based specification was drafted to favor a particular vendor or class of solution. Without this record, outcome-based specifications are vulnerable to the claim that their apparent openness conceals a predetermined preference. With it, the protester must demonstrate not merely that the specification is outcome-based but that the market consultation process itself was biased or inadequate, a significantly higher evidentiary burden. Its secondary substantive purpose is to generate information the Procuring Government genuinely does not </w:t>
      </w:r>
      <w:proofErr w:type="gramStart"/>
      <w:r>
        <w:rPr>
          <w:i/>
          <w:iCs/>
          <w:color w:val="333333"/>
          <w:sz w:val="22"/>
          <w:szCs w:val="22"/>
        </w:rPr>
        <w:t>have:</w:t>
      </w:r>
      <w:proofErr w:type="gramEnd"/>
      <w:r>
        <w:rPr>
          <w:i/>
          <w:iCs/>
          <w:color w:val="333333"/>
          <w:sz w:val="22"/>
          <w:szCs w:val="22"/>
        </w:rPr>
        <w:t xml:space="preserve"> alternative conceptual approaches to the functional need that agency staff would not have identified through internal analysis. The LLM AI procurement experience, described in Part II of this working paper, provides consistent evidence that agencies conducting genuine open market consultations encounter solution approaches they had not considered, including approaches that proved more effective and less costly than the assumed solution.</w:t>
      </w:r>
    </w:p>
    <w:p w14:paraId="7FEA344A" w14:textId="77777777" w:rsidR="00495A62" w:rsidRDefault="00000000">
      <w:pPr>
        <w:spacing w:before="140" w:after="60"/>
        <w:ind w:left="720"/>
      </w:pPr>
      <w:r>
        <w:rPr>
          <w:b/>
          <w:bCs/>
          <w:color w:val="2E4057"/>
          <w:sz w:val="22"/>
          <w:szCs w:val="22"/>
        </w:rPr>
        <w:t>The Specification Compliance Standard</w:t>
      </w:r>
    </w:p>
    <w:p w14:paraId="56E50413" w14:textId="77777777" w:rsidR="00495A62" w:rsidRDefault="00000000">
      <w:pPr>
        <w:spacing w:before="100" w:after="100" w:line="260" w:lineRule="auto"/>
        <w:ind w:left="720" w:right="360"/>
        <w:jc w:val="both"/>
      </w:pPr>
      <w:r>
        <w:rPr>
          <w:i/>
          <w:iCs/>
          <w:color w:val="333333"/>
          <w:sz w:val="22"/>
          <w:szCs w:val="22"/>
        </w:rPr>
        <w:t xml:space="preserve">Subsection (e) resolves a legal uncertainty that has discouraged use of outcome-based specifications under existing procurement frameworks. Contracting officers who issue outcome-based specifications risk protests on the </w:t>
      </w:r>
      <w:proofErr w:type="gramStart"/>
      <w:r>
        <w:rPr>
          <w:i/>
          <w:iCs/>
          <w:color w:val="333333"/>
          <w:sz w:val="22"/>
          <w:szCs w:val="22"/>
        </w:rPr>
        <w:t>ground</w:t>
      </w:r>
      <w:proofErr w:type="gramEnd"/>
      <w:r>
        <w:rPr>
          <w:i/>
          <w:iCs/>
          <w:color w:val="333333"/>
          <w:sz w:val="22"/>
          <w:szCs w:val="22"/>
        </w:rPr>
        <w:t xml:space="preserve"> that the specifications are too vague to permit evaluation on comparable terms, as required for competitive sealed proposals under Section 3-203. Subsection (e) addresses this by shifting the compliance standard from a facial examination of the specification to an empirical assessment of its competitive effect: a specification that produces three or more materially different responsive approaches is, by definition, not unduly restrictive of competition. This standard is grounded in World Bank research showing that functional and outcome-based specifications consistently produce broader competitive ranges than prescriptive specifications (World Bank, Procurement in World Bank Investment Project Financing: A Fresh Approach, 2016), and in Virginia's documented experience that performance-based specification guidance produced a measurable increase in responsive proposals (Va. </w:t>
      </w:r>
      <w:proofErr w:type="spellStart"/>
      <w:r>
        <w:rPr>
          <w:i/>
          <w:iCs/>
          <w:color w:val="333333"/>
          <w:sz w:val="22"/>
          <w:szCs w:val="22"/>
        </w:rPr>
        <w:t>Dep't</w:t>
      </w:r>
      <w:proofErr w:type="spellEnd"/>
      <w:r>
        <w:rPr>
          <w:i/>
          <w:iCs/>
          <w:color w:val="333333"/>
          <w:sz w:val="22"/>
          <w:szCs w:val="22"/>
        </w:rPr>
        <w:t xml:space="preserve"> of Gen. Servs., Performance-Based Contracting Guidelines and Outcomes Data, 2019; NASPO Survey of State Procurement </w:t>
      </w:r>
      <w:r>
        <w:rPr>
          <w:i/>
          <w:iCs/>
          <w:color w:val="333333"/>
          <w:sz w:val="22"/>
          <w:szCs w:val="22"/>
        </w:rPr>
        <w:lastRenderedPageBreak/>
        <w:t>Practices, 2022). The three-approach threshold is a floor, not a safe harbor: a specification producing three identical or near-identical approaches may still be unduly restrictive if it has foreclosed a materially different solution class.</w:t>
      </w:r>
    </w:p>
    <w:p w14:paraId="2ADA3D39" w14:textId="77777777" w:rsidR="00495A62" w:rsidRDefault="00000000">
      <w:pPr>
        <w:spacing w:before="140" w:after="60"/>
        <w:ind w:left="720"/>
      </w:pPr>
      <w:r>
        <w:rPr>
          <w:b/>
          <w:bCs/>
          <w:color w:val="2E4057"/>
          <w:sz w:val="22"/>
          <w:szCs w:val="22"/>
        </w:rPr>
        <w:t>Problems Precluded</w:t>
      </w:r>
    </w:p>
    <w:p w14:paraId="116B71E7" w14:textId="77777777" w:rsidR="00495A62" w:rsidRDefault="00000000">
      <w:pPr>
        <w:spacing w:before="100" w:after="100" w:line="260" w:lineRule="auto"/>
        <w:ind w:left="720" w:right="360"/>
        <w:jc w:val="both"/>
      </w:pPr>
      <w:r>
        <w:rPr>
          <w:i/>
          <w:iCs/>
          <w:color w:val="333333"/>
          <w:sz w:val="22"/>
          <w:szCs w:val="22"/>
        </w:rPr>
        <w:t>The written justification requirement for technical prescription in subsection (a) precludes the most common form of solution bias: the specification that appears outcome-based on its face but contains technical requirements that only one class of solution can meet. By requiring that any prescriptive element be explicitly justified in writing on grounds of infrastructure compatibility, legal obligation, or security, the section forces agencies to confront and document their prescriptive choices rather than embedding them invisibly in outcome language. The Market Consultation Summary requirement in subsection (d) precludes the post-award protest claiming that the specification was developed without adequate market engagement. The subsection (e) compliance standard precludes protests based solely on the outcome-based character of the specification, redirecting protest energy toward the factual question of whether the specification produced adequate competition rather than the legal question of whether outcome-based specifications are permissible at all.</w:t>
      </w:r>
    </w:p>
    <w:p w14:paraId="61FD5540"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3B-203. Phased Process, Phase Gate Reviews, and Payments.</w:t>
      </w:r>
    </w:p>
    <w:p w14:paraId="4EBC6A24" w14:textId="77777777" w:rsidR="00495A62" w:rsidRDefault="00000000">
      <w:pPr>
        <w:spacing w:before="100" w:after="100" w:line="276" w:lineRule="auto"/>
        <w:ind w:left="720" w:right="360"/>
        <w:jc w:val="both"/>
      </w:pPr>
      <w:r>
        <w:t>(a) Three-Phase Structure. A PoC Procurement shall be conducted in three sequential phases designated Phase 1 (Solution Design), Phase 2 (Prototyping), and Phase 3 (Piloting and MVP Validation). Transition from each phase to the next requires a Phase Gate Review conducted by the Procuring Government in accordance with subsection (e). The Procuring Government may terminate a PoC Procurement at any Phase Gate Review without obligation to proceed to subsequent phases.</w:t>
      </w:r>
    </w:p>
    <w:p w14:paraId="2D40C484" w14:textId="77777777" w:rsidR="00495A62" w:rsidRDefault="00000000">
      <w:pPr>
        <w:spacing w:before="100" w:after="100" w:line="276" w:lineRule="auto"/>
        <w:ind w:left="720" w:right="360"/>
        <w:jc w:val="both"/>
      </w:pPr>
      <w:r>
        <w:t>(b) Phase 1: Solution Design.</w:t>
      </w:r>
    </w:p>
    <w:p w14:paraId="28BFC2D6" w14:textId="77777777" w:rsidR="00495A62" w:rsidRDefault="00000000">
      <w:pPr>
        <w:spacing w:before="80" w:after="80" w:line="276" w:lineRule="auto"/>
        <w:ind w:left="1080" w:right="360"/>
        <w:jc w:val="both"/>
      </w:pPr>
      <w:r>
        <w:t xml:space="preserve">(1) The Procuring Government shall issue a Phase 1 solicitation to a maximum of ten vendors selected through a competitive process based on the outcome-based specifications issued under Section 3B-202. The solicitation shall specify the Phase 1 deliverables, evaluation criteria, payment terms, and the pre-published criteria that will govern the Phase 1 to Phase 2 </w:t>
      </w:r>
      <w:proofErr w:type="spellStart"/>
      <w:r>
        <w:t>downselect</w:t>
      </w:r>
      <w:proofErr w:type="spellEnd"/>
      <w:r>
        <w:t>.</w:t>
      </w:r>
    </w:p>
    <w:p w14:paraId="5FA25F23" w14:textId="77777777" w:rsidR="00495A62" w:rsidRDefault="00000000">
      <w:pPr>
        <w:spacing w:before="80" w:after="80" w:line="276" w:lineRule="auto"/>
        <w:ind w:left="1080" w:right="360"/>
        <w:jc w:val="both"/>
      </w:pPr>
      <w:r>
        <w:t>(2) Phase 1 work shall be conducted entirely in Sandboxed Environments. No vendor participating in Phase 1 shall be granted access to Live Systems or to Citizen Data other than de-identified representative data provided by the Procuring Government.</w:t>
      </w:r>
    </w:p>
    <w:p w14:paraId="7328A1EC" w14:textId="77777777" w:rsidR="00495A62" w:rsidRDefault="00000000">
      <w:pPr>
        <w:spacing w:before="80" w:after="80" w:line="276" w:lineRule="auto"/>
        <w:ind w:left="1080" w:right="360"/>
        <w:jc w:val="both"/>
      </w:pPr>
      <w:r>
        <w:t xml:space="preserve">(3) Phase 1 deliverables shall consist of a documented conceptual design for the vendor's proposed solution approach, including a technical feasibility assessment, a preliminary risk identification, and a proposed methodology </w:t>
      </w:r>
      <w:r>
        <w:lastRenderedPageBreak/>
        <w:t>for Phase 2 prototyping. Deliverables shall be assessed against the pre-published Phase 1 acceptance criteria before Phase Gate Review.</w:t>
      </w:r>
    </w:p>
    <w:p w14:paraId="78D8BD43" w14:textId="77777777" w:rsidR="00495A62" w:rsidRDefault="00000000">
      <w:pPr>
        <w:spacing w:before="80" w:after="80" w:line="276" w:lineRule="auto"/>
        <w:ind w:left="1080" w:right="360"/>
        <w:jc w:val="both"/>
      </w:pPr>
      <w:r>
        <w:t>(4) Phase 1 payments shall constitute not more than twenty percent of each vendor's total anticipated PoC contract value and shall be made upon acceptance of Phase 1 deliverables.</w:t>
      </w:r>
    </w:p>
    <w:p w14:paraId="2DE1AE26" w14:textId="77777777" w:rsidR="00495A62" w:rsidRDefault="00000000">
      <w:pPr>
        <w:spacing w:before="100" w:after="100" w:line="276" w:lineRule="auto"/>
        <w:ind w:left="720" w:right="360"/>
        <w:jc w:val="both"/>
      </w:pPr>
      <w:r>
        <w:t>(c) Phase 2: Prototyping.</w:t>
      </w:r>
    </w:p>
    <w:p w14:paraId="45E2B68E" w14:textId="77777777" w:rsidR="00495A62" w:rsidRDefault="00000000">
      <w:pPr>
        <w:spacing w:before="80" w:after="80" w:line="276" w:lineRule="auto"/>
        <w:ind w:left="1080" w:right="360"/>
        <w:jc w:val="both"/>
      </w:pPr>
      <w:r>
        <w:t xml:space="preserve">(1) Following Phase Gate Review under subsection (e), the Procuring Government shall select not more than five vendors to proceed to Phase 2. The </w:t>
      </w:r>
      <w:proofErr w:type="spellStart"/>
      <w:r>
        <w:t>downselect</w:t>
      </w:r>
      <w:proofErr w:type="spellEnd"/>
      <w:r>
        <w:t xml:space="preserve"> decision shall be documented in accordance with subsection (d)(3).</w:t>
      </w:r>
    </w:p>
    <w:p w14:paraId="25823BC1" w14:textId="77777777" w:rsidR="00495A62" w:rsidRDefault="00000000">
      <w:pPr>
        <w:spacing w:before="80" w:after="80" w:line="276" w:lineRule="auto"/>
        <w:ind w:left="1080" w:right="360"/>
        <w:jc w:val="both"/>
      </w:pPr>
      <w:r>
        <w:t>(2) Phase 2 work shall be conducted in Sandboxed Environments unless the Procurement Officer determines in writing that access to a specific Live System component is necessary to demonstrate a technical capability that cannot be replicated in a Sandboxed Environment, and that determination is supported by the security assessment required by subsection (c)(3).</w:t>
      </w:r>
    </w:p>
    <w:p w14:paraId="103B309C" w14:textId="77777777" w:rsidR="00495A62" w:rsidRDefault="00000000">
      <w:pPr>
        <w:spacing w:before="80" w:after="80" w:line="276" w:lineRule="auto"/>
        <w:ind w:left="1080" w:right="360"/>
        <w:jc w:val="both"/>
      </w:pPr>
      <w:r>
        <w:t>(3) Any Phase 2 access to Live Systems shall require a written security assessment prepared or reviewed by an independent qualified security professional, included in the procurement file, and approved by the agency head or designated official. The security assessment shall identify all access points, data categories, and risk mitigations applicable to the proposed Live System access.</w:t>
      </w:r>
    </w:p>
    <w:p w14:paraId="49C48DD0" w14:textId="77777777" w:rsidR="00495A62" w:rsidRDefault="00000000">
      <w:pPr>
        <w:spacing w:before="80" w:after="80" w:line="276" w:lineRule="auto"/>
        <w:ind w:left="1080" w:right="360"/>
        <w:jc w:val="both"/>
      </w:pPr>
      <w:r>
        <w:t>(4) Phase 2 deliverables shall consist of a working prototype demonstrating the vendor's proposed solution approach under conditions as close as practicable to the operational environment described in the Phase 1 specifications. Deliverables shall be assessed against the pre-published Phase 2 acceptance criteria before Phase Gate Review.</w:t>
      </w:r>
    </w:p>
    <w:p w14:paraId="148146CC" w14:textId="77777777" w:rsidR="00495A62" w:rsidRDefault="00000000">
      <w:pPr>
        <w:spacing w:before="80" w:after="80" w:line="276" w:lineRule="auto"/>
        <w:ind w:left="1080" w:right="360"/>
        <w:jc w:val="both"/>
      </w:pPr>
      <w:r>
        <w:t>(5) Phase 2 payments shall constitute not more than thirty percent of each vendor's total anticipated PoC contract value and shall be made upon acceptance of Phase 2 deliverables.</w:t>
      </w:r>
    </w:p>
    <w:p w14:paraId="3E85B89B" w14:textId="77777777" w:rsidR="00495A62" w:rsidRDefault="00000000">
      <w:pPr>
        <w:spacing w:before="100" w:after="100" w:line="276" w:lineRule="auto"/>
        <w:ind w:left="720" w:right="360"/>
        <w:jc w:val="both"/>
      </w:pPr>
      <w:r>
        <w:t>(d) Phase 3: Piloting and MVP Validation.</w:t>
      </w:r>
    </w:p>
    <w:p w14:paraId="2B07EA80" w14:textId="77777777" w:rsidR="00495A62" w:rsidRDefault="00000000">
      <w:pPr>
        <w:spacing w:before="80" w:after="80" w:line="276" w:lineRule="auto"/>
        <w:ind w:left="1080" w:right="360"/>
        <w:jc w:val="both"/>
      </w:pPr>
      <w:r>
        <w:t>(1) Following Phase Gate Review under subsection (e), the Procuring Government shall select not fewer than two and not more than three vendors to proceed to Phase 3. The Procuring Government may proceed with a single vendor only upon a written determination that only one vendor produced a Phase 2 deliverable meeting the minimum acceptance threshold and that proceeding to Phase 3 with a single vendor is in the public interest.</w:t>
      </w:r>
    </w:p>
    <w:p w14:paraId="69BC0252" w14:textId="77777777" w:rsidR="00495A62" w:rsidRDefault="00000000">
      <w:pPr>
        <w:spacing w:before="80" w:after="80" w:line="276" w:lineRule="auto"/>
        <w:ind w:left="1080" w:right="360"/>
        <w:jc w:val="both"/>
      </w:pPr>
      <w:r>
        <w:lastRenderedPageBreak/>
        <w:t>(2) Phase 3 work shall be designed to validate each competing vendor's solution approach under real or near-real operational conditions sufficient to produce the Minimum Viable Product defined in Section 3B-101(b)(4).</w:t>
      </w:r>
    </w:p>
    <w:p w14:paraId="6CB1EB1D" w14:textId="77777777" w:rsidR="00495A62" w:rsidRDefault="00000000">
      <w:pPr>
        <w:spacing w:before="80" w:after="80" w:line="276" w:lineRule="auto"/>
        <w:ind w:left="1080" w:right="360"/>
        <w:jc w:val="both"/>
      </w:pPr>
      <w:r>
        <w:t xml:space="preserve">(3) Phase 3 access to Live Systems shall be authorized only upon satisfaction </w:t>
      </w:r>
      <w:proofErr w:type="gramStart"/>
      <w:r>
        <w:t>of</w:t>
      </w:r>
      <w:proofErr w:type="gramEnd"/>
      <w:r>
        <w:t xml:space="preserve"> </w:t>
      </w:r>
      <w:proofErr w:type="gramStart"/>
      <w:r>
        <w:t>all of</w:t>
      </w:r>
      <w:proofErr w:type="gramEnd"/>
      <w:r>
        <w:t xml:space="preserve"> the following conditions:</w:t>
      </w:r>
    </w:p>
    <w:p w14:paraId="0095A3E3" w14:textId="77777777" w:rsidR="00495A62" w:rsidRDefault="00000000">
      <w:pPr>
        <w:spacing w:before="60" w:after="60" w:line="276" w:lineRule="auto"/>
        <w:ind w:left="1440" w:right="360"/>
        <w:jc w:val="both"/>
      </w:pPr>
      <w:r>
        <w:t>(</w:t>
      </w:r>
      <w:proofErr w:type="spellStart"/>
      <w:r>
        <w:t>i</w:t>
      </w:r>
      <w:proofErr w:type="spellEnd"/>
      <w:r>
        <w:t>) completion and approval of a written security assessment as required by subsection (c)(3</w:t>
      </w:r>
      <w:proofErr w:type="gramStart"/>
      <w:r>
        <w:t>);</w:t>
      </w:r>
      <w:proofErr w:type="gramEnd"/>
    </w:p>
    <w:p w14:paraId="07BCE1C2" w14:textId="77777777" w:rsidR="00495A62" w:rsidRDefault="00000000">
      <w:pPr>
        <w:spacing w:before="60" w:after="60" w:line="276" w:lineRule="auto"/>
        <w:ind w:left="1440" w:right="360"/>
        <w:jc w:val="both"/>
      </w:pPr>
      <w:r>
        <w:t xml:space="preserve">(ii) completion and approval of a service continuity plan documenting how the Procuring Government will maintain uninterrupted service to citizens during Phase 3 </w:t>
      </w:r>
      <w:proofErr w:type="gramStart"/>
      <w:r>
        <w:t>testing;</w:t>
      </w:r>
      <w:proofErr w:type="gramEnd"/>
    </w:p>
    <w:p w14:paraId="742D7BFB" w14:textId="77777777" w:rsidR="00495A62" w:rsidRDefault="00000000">
      <w:pPr>
        <w:spacing w:before="60" w:after="60" w:line="276" w:lineRule="auto"/>
        <w:ind w:left="1440" w:right="360"/>
        <w:jc w:val="both"/>
      </w:pPr>
      <w:r>
        <w:t>(iii) publication of citizen notification in accordance with the notification plan required by Section 3B-101(d)(4), not fewer than fourteen days before live system testing commences; and</w:t>
      </w:r>
    </w:p>
    <w:p w14:paraId="0FFA53D8" w14:textId="77777777" w:rsidR="00495A62" w:rsidRDefault="00000000">
      <w:pPr>
        <w:spacing w:before="60" w:after="60" w:line="276" w:lineRule="auto"/>
        <w:ind w:left="1440" w:right="360"/>
        <w:jc w:val="both"/>
      </w:pPr>
      <w:r>
        <w:t>(iv) execution of contract flow-down clauses by all subcontractors with Live System or Citizen Data access, as required by Section 3B-207.</w:t>
      </w:r>
    </w:p>
    <w:p w14:paraId="116F46E2" w14:textId="77777777" w:rsidR="00495A62" w:rsidRDefault="00000000">
      <w:pPr>
        <w:spacing w:before="80" w:after="80" w:line="276" w:lineRule="auto"/>
        <w:ind w:left="1080" w:right="360"/>
        <w:jc w:val="both"/>
      </w:pPr>
      <w:r>
        <w:t>(4) Phase 3 deliverables shall consist of the Minimum Viable Product: a working implementation demonstrating that the vendor's solution approach meets the functional need, performance criteria, security requirements, and cost parameters specified in the Phase 1 solicitation under real or near-real operational conditions. A Phase 3 deliverable constitutes an MVP only upon written acceptance by the Procuring Government against the pre-published Phase 3 acceptance criteria.</w:t>
      </w:r>
    </w:p>
    <w:p w14:paraId="74FF1587" w14:textId="77777777" w:rsidR="00495A62" w:rsidRDefault="00000000">
      <w:pPr>
        <w:spacing w:before="80" w:after="80" w:line="276" w:lineRule="auto"/>
        <w:ind w:left="1080" w:right="360"/>
        <w:jc w:val="both"/>
      </w:pPr>
      <w:r>
        <w:t>(5) Phase 3 payments shall constitute not more than fifty percent of each vendor's total anticipated PoC contract value, structured as milestone payments tied to interim Phase 3 deliverables, with final payment upon MVP acceptance. Not less than fifteen percent of the total Phase 3 payment shall be held in a milestone escrow account and released only upon final MVP acceptance.</w:t>
      </w:r>
    </w:p>
    <w:p w14:paraId="78E9DC8B" w14:textId="77777777" w:rsidR="00495A62" w:rsidRDefault="00000000">
      <w:pPr>
        <w:spacing w:before="100" w:after="100" w:line="276" w:lineRule="auto"/>
        <w:ind w:left="720" w:right="360"/>
        <w:jc w:val="both"/>
      </w:pPr>
      <w:r>
        <w:t>(e) Phase Gate Reviews.</w:t>
      </w:r>
    </w:p>
    <w:p w14:paraId="3EBEAE1E" w14:textId="77777777" w:rsidR="00495A62" w:rsidRDefault="00000000">
      <w:pPr>
        <w:spacing w:before="80" w:after="80" w:line="276" w:lineRule="auto"/>
        <w:ind w:left="1080" w:right="360"/>
        <w:jc w:val="both"/>
      </w:pPr>
      <w:r>
        <w:t>(1) The Procuring Government shall conduct a Phase Gate Review at the conclusion of each phase before authorizing the next phase or terminating the PoC Procurement. Phase Gate Reviews are formal government decisions, not contractor-managed milestones.</w:t>
      </w:r>
    </w:p>
    <w:p w14:paraId="342A84D9" w14:textId="77777777" w:rsidR="00495A62" w:rsidRDefault="00000000">
      <w:pPr>
        <w:spacing w:before="80" w:after="80" w:line="276" w:lineRule="auto"/>
        <w:ind w:left="1080" w:right="360"/>
        <w:jc w:val="both"/>
      </w:pPr>
      <w:r>
        <w:t xml:space="preserve">(2) The Phase Gate Review shall assess each participating vendor's phase deliverables against the pre-published acceptance criteria for that phase, evaluate relative vendor performance, and make a documented </w:t>
      </w:r>
      <w:proofErr w:type="spellStart"/>
      <w:r>
        <w:t>downselect</w:t>
      </w:r>
      <w:proofErr w:type="spellEnd"/>
      <w:r>
        <w:t xml:space="preserve"> decision.</w:t>
      </w:r>
    </w:p>
    <w:p w14:paraId="5E374B67" w14:textId="77777777" w:rsidR="00495A62" w:rsidRDefault="00000000">
      <w:pPr>
        <w:spacing w:before="80" w:after="80" w:line="276" w:lineRule="auto"/>
        <w:ind w:left="1080" w:right="360"/>
        <w:jc w:val="both"/>
      </w:pPr>
      <w:r>
        <w:lastRenderedPageBreak/>
        <w:t xml:space="preserve">(3) The Procurement Officer shall prepare a written Phase Gate Review Record for each review, including: a summary of each vendor's deliverables and their assessment against acceptance criteria; the </w:t>
      </w:r>
      <w:proofErr w:type="spellStart"/>
      <w:r>
        <w:t>downselect</w:t>
      </w:r>
      <w:proofErr w:type="spellEnd"/>
      <w:r>
        <w:t xml:space="preserve"> decision and its rationale; identification of any vendor whose deliverables failed to meet minimum acceptance thresholds; and any modifications to Phase acceptance criteria or payment terms for the subsequent phase. The Phase Gate Review Record shall be included in the procurement file.</w:t>
      </w:r>
    </w:p>
    <w:p w14:paraId="0A548EB4" w14:textId="77777777" w:rsidR="00495A62" w:rsidRDefault="00000000">
      <w:pPr>
        <w:spacing w:before="80" w:after="80" w:line="276" w:lineRule="auto"/>
        <w:ind w:left="1080" w:right="360"/>
        <w:jc w:val="both"/>
      </w:pPr>
      <w:r>
        <w:t>(4) For Phase 3 PoC Procurements involving Live System access or Citizen Data, the Procurement Officer shall obtain an advisory assessment from an Independent Technical Monitor designated under Section 3B-208 before completing the Phase Gate Review.</w:t>
      </w:r>
    </w:p>
    <w:p w14:paraId="68F35286" w14:textId="77777777" w:rsidR="00495A62" w:rsidRDefault="00000000">
      <w:pPr>
        <w:spacing w:before="80" w:after="80" w:line="276" w:lineRule="auto"/>
        <w:ind w:left="1080" w:right="360"/>
        <w:jc w:val="both"/>
      </w:pPr>
      <w:r>
        <w:t>(5) The Phase Gate Review Record for the Phase 2 to Phase 3 transition shall additionally document the Procurement Officer's findings on each of the conditions required for Phase 3 Live System access under subsection (d)(3).</w:t>
      </w:r>
    </w:p>
    <w:p w14:paraId="59B1D54A" w14:textId="77777777" w:rsidR="00495A62" w:rsidRDefault="00000000">
      <w:pPr>
        <w:spacing w:before="100" w:after="100" w:line="276" w:lineRule="auto"/>
        <w:ind w:left="720" w:right="360"/>
        <w:jc w:val="both"/>
      </w:pPr>
      <w:r>
        <w:t xml:space="preserve">(f) Milestone Escrow. Amounts held in milestone escrow under subsection (d)(5) shall be maintained in an account designated for that purpose and shall be released to the vendor upon written MVP acceptance by the Procurement Officer. If MVP acceptance is not achieved within the Phase 3 performance period, the escrowed funds shall be available to the Procuring Government for application to remediation costs, </w:t>
      </w:r>
      <w:proofErr w:type="spellStart"/>
      <w:r>
        <w:t>recompetition</w:t>
      </w:r>
      <w:proofErr w:type="spellEnd"/>
      <w:r>
        <w:t xml:space="preserve"> expenses, or alternative PoC Procurement activities without requirement of litigation or bond claim proceedings.</w:t>
      </w:r>
    </w:p>
    <w:p w14:paraId="16506654" w14:textId="77777777" w:rsidR="00495A62" w:rsidRDefault="00000000">
      <w:pPr>
        <w:spacing w:before="200" w:after="80"/>
        <w:ind w:left="720"/>
      </w:pPr>
      <w:r>
        <w:rPr>
          <w:b/>
          <w:bCs/>
          <w:caps/>
          <w:color w:val="2E4057"/>
          <w:sz w:val="22"/>
          <w:szCs w:val="22"/>
        </w:rPr>
        <w:t>OFFICIAL COMMENT</w:t>
      </w:r>
    </w:p>
    <w:p w14:paraId="25727451" w14:textId="77777777" w:rsidR="00495A62" w:rsidRDefault="00000000">
      <w:pPr>
        <w:spacing w:before="140" w:after="60"/>
        <w:ind w:left="720"/>
      </w:pPr>
      <w:r>
        <w:rPr>
          <w:b/>
          <w:bCs/>
          <w:color w:val="2E4057"/>
          <w:sz w:val="22"/>
          <w:szCs w:val="22"/>
        </w:rPr>
        <w:t>Purpose and Design</w:t>
      </w:r>
    </w:p>
    <w:p w14:paraId="32E50C10" w14:textId="77777777" w:rsidR="00495A62" w:rsidRDefault="00000000">
      <w:pPr>
        <w:spacing w:before="100" w:after="100" w:line="260" w:lineRule="auto"/>
        <w:ind w:left="720" w:right="360"/>
        <w:jc w:val="both"/>
      </w:pPr>
      <w:r>
        <w:rPr>
          <w:i/>
          <w:iCs/>
          <w:color w:val="333333"/>
          <w:sz w:val="22"/>
          <w:szCs w:val="22"/>
        </w:rPr>
        <w:t xml:space="preserve">Section 3B-203 implements the phased multi-vendor competitive structure that is the operational core of Article 3B. Its design is grounded in the EU Pre-Commercial Procurement framework, modified in three significant ways to reflect American state and local procurement law requirements. First, the phase payment ratios of twenty, thirty, and fifty percent calibrate financial commitment to demonstrated technical progress: the government spends the smallest amount in Phase 1 when uncertainty is highest, progressively larger amounts as each phase reduces risk, and the largest amount in Phase 3 when the solution approach has been validated in prototype form and the remaining uncertainty concerns operational deployment rather than fundamental feasibility. Second, the mandatory sandboxed environment requirement for Phase 1 and default sandboxed requirement for Phase 2 reflects the operational risk analysis in Part II, Section E: the government's fiduciary obligations to citizens are engaged most acutely in Phase 3 when live systems and real Citizen Data are involved, and the phase structure is designed to maximize what can be learned in sandboxed environments before that threshold is crossed. Third, the milestone escrow provision replaces the conventional performance bond structure, which is ill-suited to </w:t>
      </w:r>
      <w:proofErr w:type="gramStart"/>
      <w:r>
        <w:rPr>
          <w:i/>
          <w:iCs/>
          <w:color w:val="333333"/>
          <w:sz w:val="22"/>
          <w:szCs w:val="22"/>
        </w:rPr>
        <w:lastRenderedPageBreak/>
        <w:t>exploratory</w:t>
      </w:r>
      <w:proofErr w:type="gramEnd"/>
      <w:r>
        <w:rPr>
          <w:i/>
          <w:iCs/>
          <w:color w:val="333333"/>
          <w:sz w:val="22"/>
          <w:szCs w:val="22"/>
        </w:rPr>
        <w:t xml:space="preserve"> work where failure is an expected possibility rather than a contractual breach.</w:t>
      </w:r>
    </w:p>
    <w:p w14:paraId="180C83FA" w14:textId="77777777" w:rsidR="00495A62" w:rsidRDefault="00000000">
      <w:pPr>
        <w:spacing w:before="140" w:after="60"/>
        <w:ind w:left="720"/>
      </w:pPr>
      <w:r>
        <w:rPr>
          <w:b/>
          <w:bCs/>
          <w:color w:val="2E4057"/>
          <w:sz w:val="22"/>
          <w:szCs w:val="22"/>
        </w:rPr>
        <w:t>The Sandboxed Default and Phase 3 Live System Conditions</w:t>
      </w:r>
    </w:p>
    <w:p w14:paraId="332FD035" w14:textId="77777777" w:rsidR="00495A62" w:rsidRDefault="00000000">
      <w:pPr>
        <w:spacing w:before="100" w:after="100" w:line="260" w:lineRule="auto"/>
        <w:ind w:left="720" w:right="360"/>
        <w:jc w:val="both"/>
      </w:pPr>
      <w:r>
        <w:rPr>
          <w:i/>
          <w:iCs/>
          <w:color w:val="333333"/>
          <w:sz w:val="22"/>
          <w:szCs w:val="22"/>
        </w:rPr>
        <w:t>The requirement that Phase 1 work be conducted entirely in Sandboxed Environments, with no access to Live Systems or Citizen Data, is absolute. Phase 2 work carries a default sandboxed requirement with a narrow written-justification exception for specific technical capability demonstrations. This graduated approach reflects the convergence of the MVP concept and the fiduciary analysis developed in Part II: the purpose of Phases 1 and 2 is to learn whether a solution approach is feasible at all, a question that can and should be answered in controlled environments before the government's fiduciary obligations to citizens are engaged. The four-part condition for Phase 3 Live System access, combining security assessment, service continuity planning, citizen notification, and subcontractor flow-down execution, represents the minimum procedural expression of the trustee's obligations at the point where the MVP is being validated under real conditions. Procuring Governments should treat the Phase 3 authorization decision as analytically equivalent to a significant operational change to a production system, not merely as a procurement milestone.</w:t>
      </w:r>
    </w:p>
    <w:p w14:paraId="4C53588C" w14:textId="77777777" w:rsidR="00495A62" w:rsidRDefault="00000000">
      <w:pPr>
        <w:spacing w:before="140" w:after="60"/>
        <w:ind w:left="720"/>
      </w:pPr>
      <w:r>
        <w:rPr>
          <w:b/>
          <w:bCs/>
          <w:color w:val="2E4057"/>
          <w:sz w:val="22"/>
          <w:szCs w:val="22"/>
        </w:rPr>
        <w:t>Phase Gate Reviews as Government Decisions</w:t>
      </w:r>
    </w:p>
    <w:p w14:paraId="3478BDCA" w14:textId="77777777" w:rsidR="00495A62" w:rsidRDefault="00000000">
      <w:pPr>
        <w:spacing w:before="100" w:after="100" w:line="260" w:lineRule="auto"/>
        <w:ind w:left="720" w:right="360"/>
        <w:jc w:val="both"/>
      </w:pPr>
      <w:r>
        <w:rPr>
          <w:i/>
          <w:iCs/>
          <w:color w:val="333333"/>
          <w:sz w:val="22"/>
          <w:szCs w:val="22"/>
        </w:rPr>
        <w:t>Subsection (e)(1) specifies that Phase Gate Reviews are formal government decisions, not contractor-managed milestones. This distinction is operationally important. In conventional procurement, milestone acceptance is often treated as a contract administration function delegated to a contracting officer's technical representative who certifies completion and authorizes payment. For PoC Procurement, the phase transition decisions are substantive policy choices about which approaches are worth pursuing and at what level of investment, choices that require government ownership and a documented administrative record, not merely technical certification. The requirement that the Phase Gate Review Record be included in the procurement file ensures that every transition decision is documented in a form that supports protest defense, supports the post-PoC reporting requirement, and creates the institutional learning record that the PoC framework is designed to generate.</w:t>
      </w:r>
    </w:p>
    <w:p w14:paraId="1715BA70" w14:textId="77777777" w:rsidR="00495A62" w:rsidRDefault="00000000">
      <w:pPr>
        <w:spacing w:before="140" w:after="60"/>
        <w:ind w:left="720"/>
      </w:pPr>
      <w:r>
        <w:rPr>
          <w:b/>
          <w:bCs/>
          <w:color w:val="2E4057"/>
          <w:sz w:val="22"/>
          <w:szCs w:val="22"/>
        </w:rPr>
        <w:t>Problems Precluded</w:t>
      </w:r>
    </w:p>
    <w:p w14:paraId="379E1C2D" w14:textId="77777777" w:rsidR="00495A62" w:rsidRDefault="00000000">
      <w:pPr>
        <w:spacing w:before="100" w:after="100" w:line="260" w:lineRule="auto"/>
        <w:ind w:left="720" w:right="360"/>
        <w:jc w:val="both"/>
      </w:pPr>
      <w:r>
        <w:rPr>
          <w:i/>
          <w:iCs/>
          <w:color w:val="333333"/>
          <w:sz w:val="22"/>
          <w:szCs w:val="22"/>
        </w:rPr>
        <w:t xml:space="preserve">The pre-published acceptance criteria requirement, applicable to all three phases, precludes the most common </w:t>
      </w:r>
      <w:proofErr w:type="gramStart"/>
      <w:r>
        <w:rPr>
          <w:i/>
          <w:iCs/>
          <w:color w:val="333333"/>
          <w:sz w:val="22"/>
          <w:szCs w:val="22"/>
        </w:rPr>
        <w:t>protest against</w:t>
      </w:r>
      <w:proofErr w:type="gramEnd"/>
      <w:r>
        <w:rPr>
          <w:i/>
          <w:iCs/>
          <w:color w:val="333333"/>
          <w:sz w:val="22"/>
          <w:szCs w:val="22"/>
        </w:rPr>
        <w:t xml:space="preserve"> phased evaluations: the claim that </w:t>
      </w:r>
      <w:proofErr w:type="spellStart"/>
      <w:r>
        <w:rPr>
          <w:i/>
          <w:iCs/>
          <w:color w:val="333333"/>
          <w:sz w:val="22"/>
          <w:szCs w:val="22"/>
        </w:rPr>
        <w:t>downselect</w:t>
      </w:r>
      <w:proofErr w:type="spellEnd"/>
      <w:r>
        <w:rPr>
          <w:i/>
          <w:iCs/>
          <w:color w:val="333333"/>
          <w:sz w:val="22"/>
          <w:szCs w:val="22"/>
        </w:rPr>
        <w:t xml:space="preserve"> criteria were developed or modified after proposals were received to favor a particular vendor. By requiring that all acceptance criteria and </w:t>
      </w:r>
      <w:proofErr w:type="spellStart"/>
      <w:r>
        <w:rPr>
          <w:i/>
          <w:iCs/>
          <w:color w:val="333333"/>
          <w:sz w:val="22"/>
          <w:szCs w:val="22"/>
        </w:rPr>
        <w:t>downselect</w:t>
      </w:r>
      <w:proofErr w:type="spellEnd"/>
      <w:r>
        <w:rPr>
          <w:i/>
          <w:iCs/>
          <w:color w:val="333333"/>
          <w:sz w:val="22"/>
          <w:szCs w:val="22"/>
        </w:rPr>
        <w:t xml:space="preserve"> standards be published before any phase begins, Section 3B-203 creates a protest-proof evaluation framework analogous to the evaluation factor pre-publication requirement for competitive sealed proposals under Section 3-203. The milestone escrow provision precludes the scenario where a vendor whose Phase 3 work fails MVP acceptance has already received full payment, leaving the government with no financial recourse and no ability to redirect resources to a competing vendor or a new procurement. The two-vendor minimum for Phase 3 precludes premature consolidation to a single </w:t>
      </w:r>
      <w:r>
        <w:rPr>
          <w:i/>
          <w:iCs/>
          <w:color w:val="333333"/>
          <w:sz w:val="22"/>
          <w:szCs w:val="22"/>
        </w:rPr>
        <w:lastRenderedPageBreak/>
        <w:t>vendor before MVP validation is complete, preserving competitive pressure through the phase where the stakes are highest.</w:t>
      </w:r>
    </w:p>
    <w:p w14:paraId="47ABBABF"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3B-205. Consortium Procurement.</w:t>
      </w:r>
    </w:p>
    <w:p w14:paraId="22280768" w14:textId="77777777" w:rsidR="00495A62" w:rsidRDefault="00000000">
      <w:pPr>
        <w:spacing w:before="100" w:after="100" w:line="276" w:lineRule="auto"/>
        <w:ind w:left="720" w:right="360"/>
        <w:jc w:val="both"/>
      </w:pPr>
      <w:r>
        <w:t xml:space="preserve">(a) Authorization. Three or more Governments participating in this </w:t>
      </w:r>
      <w:proofErr w:type="gramStart"/>
      <w:r>
        <w:t>Code, or</w:t>
      </w:r>
      <w:proofErr w:type="gramEnd"/>
      <w:r>
        <w:t xml:space="preserve"> otherwise authorized by applicable law to engage in cooperative procurement, may form a Consortium to conduct a PoC Procurement under this Article. A Consortium Procurement shall designate one participating Government as the Lead Buyer.</w:t>
      </w:r>
    </w:p>
    <w:p w14:paraId="74B0E856" w14:textId="77777777" w:rsidR="00495A62" w:rsidRDefault="00000000">
      <w:pPr>
        <w:spacing w:before="100" w:after="100" w:line="276" w:lineRule="auto"/>
        <w:ind w:left="720" w:right="360"/>
        <w:jc w:val="both"/>
      </w:pPr>
      <w:r>
        <w:t xml:space="preserve">(b) Memorandum of Understanding. Before issuing any solicitation, Consortium members shall execute a written Memorandum of Understanding governing the Consortium Procurement. The </w:t>
      </w:r>
      <w:proofErr w:type="gramStart"/>
      <w:r>
        <w:t>MOU shall</w:t>
      </w:r>
      <w:proofErr w:type="gramEnd"/>
      <w:r>
        <w:t xml:space="preserve"> address</w:t>
      </w:r>
      <w:proofErr w:type="gramStart"/>
      <w:r>
        <w:t>, at</w:t>
      </w:r>
      <w:proofErr w:type="gramEnd"/>
      <w:r>
        <w:t xml:space="preserve"> minimum:</w:t>
      </w:r>
    </w:p>
    <w:p w14:paraId="41CE16FD" w14:textId="77777777" w:rsidR="00495A62" w:rsidRDefault="00000000">
      <w:pPr>
        <w:spacing w:before="80" w:after="80" w:line="276" w:lineRule="auto"/>
        <w:ind w:left="1080" w:right="360"/>
        <w:jc w:val="both"/>
      </w:pPr>
      <w:r>
        <w:t xml:space="preserve">(1) the identity of the Lead Buyer and the scope of the Lead Buyer's authority to act on behalf of the Consortium in all procurement, contract, and administrative </w:t>
      </w:r>
      <w:proofErr w:type="gramStart"/>
      <w:r>
        <w:t>matters;</w:t>
      </w:r>
      <w:proofErr w:type="gramEnd"/>
    </w:p>
    <w:p w14:paraId="1A54C98B" w14:textId="77777777" w:rsidR="00495A62" w:rsidRDefault="00000000">
      <w:pPr>
        <w:spacing w:before="80" w:after="80" w:line="276" w:lineRule="auto"/>
        <w:ind w:left="1080" w:right="360"/>
        <w:jc w:val="both"/>
      </w:pPr>
      <w:r>
        <w:t xml:space="preserve">(2) the financial contribution of each member, the cost-sharing formula for each phase, and the payment obligations of each member to the Lead </w:t>
      </w:r>
      <w:proofErr w:type="gramStart"/>
      <w:r>
        <w:t>Buyer;</w:t>
      </w:r>
      <w:proofErr w:type="gramEnd"/>
    </w:p>
    <w:p w14:paraId="41C4A6F9" w14:textId="77777777" w:rsidR="00495A62" w:rsidRDefault="00000000">
      <w:pPr>
        <w:spacing w:before="80" w:after="80" w:line="276" w:lineRule="auto"/>
        <w:ind w:left="1080" w:right="360"/>
        <w:jc w:val="both"/>
      </w:pPr>
      <w:r>
        <w:t xml:space="preserve">(3) the decision-making structure for Consortium decisions, including the default rule that, absent contrary agreement, decisions on </w:t>
      </w:r>
      <w:proofErr w:type="spellStart"/>
      <w:r>
        <w:t>downselects</w:t>
      </w:r>
      <w:proofErr w:type="spellEnd"/>
      <w:r>
        <w:t xml:space="preserve">, contract modifications, and Phase Gate Reviews require approval by a simple majority of Consortium members weighted by financial </w:t>
      </w:r>
      <w:proofErr w:type="gramStart"/>
      <w:r>
        <w:t>contribution;</w:t>
      </w:r>
      <w:proofErr w:type="gramEnd"/>
    </w:p>
    <w:p w14:paraId="30467141" w14:textId="77777777" w:rsidR="00495A62" w:rsidRDefault="00000000">
      <w:pPr>
        <w:spacing w:before="80" w:after="80" w:line="276" w:lineRule="auto"/>
        <w:ind w:left="1080" w:right="360"/>
        <w:jc w:val="both"/>
      </w:pPr>
      <w:r>
        <w:t>(4) the intellectual property framework applicable to PoC Artifacts produced under the Consortium Procurement, consistent with Section 3B-</w:t>
      </w:r>
      <w:proofErr w:type="gramStart"/>
      <w:r>
        <w:t>206;</w:t>
      </w:r>
      <w:proofErr w:type="gramEnd"/>
    </w:p>
    <w:p w14:paraId="19739971" w14:textId="77777777" w:rsidR="00495A62" w:rsidRDefault="00000000">
      <w:pPr>
        <w:spacing w:before="80" w:after="80" w:line="276" w:lineRule="auto"/>
        <w:ind w:left="1080" w:right="360"/>
        <w:jc w:val="both"/>
      </w:pPr>
      <w:r>
        <w:t>(5) each member's right to opt into or out of Phase 3 and production procurement results, with a minimum thirty-day opt-out notice period and procedures for data rights upon opt-out; and</w:t>
      </w:r>
    </w:p>
    <w:p w14:paraId="02D23AD4" w14:textId="77777777" w:rsidR="00495A62" w:rsidRDefault="00000000">
      <w:pPr>
        <w:spacing w:before="80" w:after="80" w:line="276" w:lineRule="auto"/>
        <w:ind w:left="1080" w:right="360"/>
        <w:jc w:val="both"/>
      </w:pPr>
      <w:r>
        <w:t>(6) the allocation of administrative and protest liability between the Lead Buyer and participating members, consistent with subsection (d).</w:t>
      </w:r>
    </w:p>
    <w:p w14:paraId="56278206" w14:textId="77777777" w:rsidR="00495A62" w:rsidRDefault="00000000">
      <w:pPr>
        <w:spacing w:before="100" w:after="100" w:line="276" w:lineRule="auto"/>
        <w:ind w:left="720" w:right="360"/>
        <w:jc w:val="both"/>
      </w:pPr>
      <w:r>
        <w:t>(c) Lead Buyer Responsibilities. The Lead Buyer shall:</w:t>
      </w:r>
    </w:p>
    <w:p w14:paraId="44B40410" w14:textId="77777777" w:rsidR="00495A62" w:rsidRDefault="00000000">
      <w:pPr>
        <w:spacing w:before="80" w:after="80" w:line="276" w:lineRule="auto"/>
        <w:ind w:left="1080" w:right="360"/>
        <w:jc w:val="both"/>
      </w:pPr>
      <w:r>
        <w:t xml:space="preserve">(1) issue all solicitations, conduct all Phase Gate Reviews, and execute all contracts on behalf of the </w:t>
      </w:r>
      <w:proofErr w:type="gramStart"/>
      <w:r>
        <w:t>Consortium;</w:t>
      </w:r>
      <w:proofErr w:type="gramEnd"/>
    </w:p>
    <w:p w14:paraId="490CA929" w14:textId="77777777" w:rsidR="00495A62" w:rsidRDefault="00000000">
      <w:pPr>
        <w:spacing w:before="80" w:after="80" w:line="276" w:lineRule="auto"/>
        <w:ind w:left="1080" w:right="360"/>
        <w:jc w:val="both"/>
      </w:pPr>
      <w:r>
        <w:t xml:space="preserve">(2) maintain the procurement file and all required documentation under this </w:t>
      </w:r>
      <w:proofErr w:type="gramStart"/>
      <w:r>
        <w:t>Article;</w:t>
      </w:r>
      <w:proofErr w:type="gramEnd"/>
    </w:p>
    <w:p w14:paraId="05C27173" w14:textId="77777777" w:rsidR="00495A62" w:rsidRDefault="00000000">
      <w:pPr>
        <w:spacing w:before="80" w:after="80" w:line="276" w:lineRule="auto"/>
        <w:ind w:left="1080" w:right="360"/>
        <w:jc w:val="both"/>
      </w:pPr>
      <w:r>
        <w:t>(3) designate or procure an Independent Technical Monitor as required by Section 3B-208 when the Consortium Procurement involves Live System access or Citizen Data; and</w:t>
      </w:r>
    </w:p>
    <w:p w14:paraId="0F86FD4E" w14:textId="77777777" w:rsidR="00495A62" w:rsidRDefault="00000000">
      <w:pPr>
        <w:spacing w:before="80" w:after="80" w:line="276" w:lineRule="auto"/>
        <w:ind w:left="1080" w:right="360"/>
        <w:jc w:val="both"/>
      </w:pPr>
      <w:r>
        <w:lastRenderedPageBreak/>
        <w:t>(4) provide each Consortium member with timely copies of all Phase Gate Review Records, solicitations, vendor deliverables, and other procurement documents.</w:t>
      </w:r>
    </w:p>
    <w:p w14:paraId="48B05979" w14:textId="77777777" w:rsidR="00495A62" w:rsidRDefault="00000000">
      <w:pPr>
        <w:spacing w:before="100" w:after="100" w:line="276" w:lineRule="auto"/>
        <w:ind w:left="720" w:right="360"/>
        <w:jc w:val="both"/>
      </w:pPr>
      <w:r>
        <w:t>(d) Liability Allocation. The Lead Buyer shall bear administrative liability for the procurement process, including responsibility for protest defense, contract administration, and compliance with this Article. Participating Consortium members shall bear financial liability only for their pro-rata share of costs as established in the MOU. Nothing in this subsection shall be construed to limit any Consortium member's independent obligations under applicable state law with respect to Citizen Data or citizen-facing services within its jurisdiction.</w:t>
      </w:r>
    </w:p>
    <w:p w14:paraId="30656361" w14:textId="77777777" w:rsidR="00495A62" w:rsidRDefault="00000000">
      <w:pPr>
        <w:spacing w:before="100" w:after="100" w:line="276" w:lineRule="auto"/>
        <w:ind w:left="720" w:right="360"/>
        <w:jc w:val="both"/>
      </w:pPr>
      <w:r>
        <w:t>(e) Toolkit. The ABA Model Procurement Code Consortium Toolkit, described in Appendix 3B to this Code, provides standard MOU templates, RFP templates, cost-sharing calculators, and training materials for use by Consortium members. Use of the Toolkit is recommended but not required.</w:t>
      </w:r>
    </w:p>
    <w:p w14:paraId="3CA253B5" w14:textId="77777777" w:rsidR="00495A62" w:rsidRDefault="00000000">
      <w:pPr>
        <w:spacing w:before="200" w:after="80"/>
        <w:ind w:left="720"/>
      </w:pPr>
      <w:r>
        <w:rPr>
          <w:b/>
          <w:bCs/>
          <w:caps/>
          <w:color w:val="2E4057"/>
          <w:sz w:val="22"/>
          <w:szCs w:val="22"/>
        </w:rPr>
        <w:t>OFFICIAL COMMENT</w:t>
      </w:r>
    </w:p>
    <w:p w14:paraId="3A722DEE" w14:textId="77777777" w:rsidR="00495A62" w:rsidRDefault="00000000">
      <w:pPr>
        <w:spacing w:before="140" w:after="60"/>
        <w:ind w:left="720"/>
      </w:pPr>
      <w:r>
        <w:rPr>
          <w:b/>
          <w:bCs/>
          <w:color w:val="2E4057"/>
          <w:sz w:val="22"/>
          <w:szCs w:val="22"/>
        </w:rPr>
        <w:t>Purpose and Design</w:t>
      </w:r>
    </w:p>
    <w:p w14:paraId="4958E1DF" w14:textId="77777777" w:rsidR="00495A62" w:rsidRDefault="00000000">
      <w:pPr>
        <w:spacing w:before="100" w:after="100" w:line="260" w:lineRule="auto"/>
        <w:ind w:left="720" w:right="360"/>
        <w:jc w:val="both"/>
      </w:pPr>
      <w:r>
        <w:rPr>
          <w:i/>
          <w:iCs/>
          <w:color w:val="333333"/>
          <w:sz w:val="22"/>
          <w:szCs w:val="22"/>
        </w:rPr>
        <w:t xml:space="preserve">Section 3B-205 addresses the scale and coordination problem that makes many Genuinely Novel PoC Procurements impractical for single jurisdictions. A technology genuinely new to everyone may require an investment in competitive parallel development, across multiple vendors and multiple phases, that no single state or local government can justify against its anticipated deployment volume. Consortium Procurement aggregates demand across multiple jurisdictions, making the investment rational and making the procurement attractive to vendors who would not engage with a single-jurisdiction PoC of insufficient scale. The NASPO </w:t>
      </w:r>
      <w:proofErr w:type="spellStart"/>
      <w:r>
        <w:rPr>
          <w:i/>
          <w:iCs/>
          <w:color w:val="333333"/>
          <w:sz w:val="22"/>
          <w:szCs w:val="22"/>
        </w:rPr>
        <w:t>ValuePoint</w:t>
      </w:r>
      <w:proofErr w:type="spellEnd"/>
      <w:r>
        <w:rPr>
          <w:i/>
          <w:iCs/>
          <w:color w:val="333333"/>
          <w:sz w:val="22"/>
          <w:szCs w:val="22"/>
        </w:rPr>
        <w:t xml:space="preserve"> program demonstrates at scale that this model works within existing state procurement law frameworks without generating the anti-monopoly or interstate compact challenges that informal cooperative arrangements have sometimes attracted, </w:t>
      </w:r>
      <w:proofErr w:type="gramStart"/>
      <w:r>
        <w:rPr>
          <w:i/>
          <w:iCs/>
          <w:color w:val="333333"/>
          <w:sz w:val="22"/>
          <w:szCs w:val="22"/>
        </w:rPr>
        <w:t>provided that</w:t>
      </w:r>
      <w:proofErr w:type="gramEnd"/>
      <w:r>
        <w:rPr>
          <w:i/>
          <w:iCs/>
          <w:color w:val="333333"/>
          <w:sz w:val="22"/>
          <w:szCs w:val="22"/>
        </w:rPr>
        <w:t xml:space="preserve"> governance structures are clear and the Lead Buyer model is properly implemented.</w:t>
      </w:r>
    </w:p>
    <w:p w14:paraId="71DDFCC1" w14:textId="77777777" w:rsidR="00495A62" w:rsidRDefault="00000000">
      <w:pPr>
        <w:spacing w:before="140" w:after="60"/>
        <w:ind w:left="720"/>
      </w:pPr>
      <w:r>
        <w:rPr>
          <w:b/>
          <w:bCs/>
          <w:color w:val="2E4057"/>
          <w:sz w:val="22"/>
          <w:szCs w:val="22"/>
        </w:rPr>
        <w:t>The Default Decision Rule</w:t>
      </w:r>
    </w:p>
    <w:p w14:paraId="6C3662A9" w14:textId="77777777" w:rsidR="00495A62" w:rsidRDefault="00000000">
      <w:pPr>
        <w:spacing w:before="100" w:after="100" w:line="260" w:lineRule="auto"/>
        <w:ind w:left="720" w:right="360"/>
        <w:jc w:val="both"/>
      </w:pPr>
      <w:r>
        <w:rPr>
          <w:i/>
          <w:iCs/>
          <w:color w:val="333333"/>
          <w:sz w:val="22"/>
          <w:szCs w:val="22"/>
        </w:rPr>
        <w:t xml:space="preserve">The simple majority weighted by financial contribution default in subsection (b)(3) addresses a practical failure mode that informal PoC consortia have encountered: single-member veto over </w:t>
      </w:r>
      <w:proofErr w:type="spellStart"/>
      <w:r>
        <w:rPr>
          <w:i/>
          <w:iCs/>
          <w:color w:val="333333"/>
          <w:sz w:val="22"/>
          <w:szCs w:val="22"/>
        </w:rPr>
        <w:t>downselect</w:t>
      </w:r>
      <w:proofErr w:type="spellEnd"/>
      <w:r>
        <w:rPr>
          <w:i/>
          <w:iCs/>
          <w:color w:val="333333"/>
          <w:sz w:val="22"/>
          <w:szCs w:val="22"/>
        </w:rPr>
        <w:t xml:space="preserve"> decisions that the vetoing member opposes for reasons unrelated to technical merit. Ordinary cooperative purchasing does not require </w:t>
      </w:r>
      <w:proofErr w:type="spellStart"/>
      <w:r>
        <w:rPr>
          <w:i/>
          <w:iCs/>
          <w:color w:val="333333"/>
          <w:sz w:val="22"/>
          <w:szCs w:val="22"/>
        </w:rPr>
        <w:t>downselect</w:t>
      </w:r>
      <w:proofErr w:type="spellEnd"/>
      <w:r>
        <w:rPr>
          <w:i/>
          <w:iCs/>
          <w:color w:val="333333"/>
          <w:sz w:val="22"/>
          <w:szCs w:val="22"/>
        </w:rPr>
        <w:t xml:space="preserve"> decisions, because the procurement object is a defined product or service. PoC Procurement requires progressive decisions about which vendor approaches to continue funding, and those decisions must be able to proceed on a timely basis. The weighted majority rule reflects each member's financial stake while preventing a single member from blocking a decision supported by the majority. Consortium members who wish a different decision rule, including unanimity for certain categories of decisions, are free to negotiate it in the MOU; the default applies only where the MOU is silent.</w:t>
      </w:r>
    </w:p>
    <w:p w14:paraId="7D73D29F" w14:textId="77777777" w:rsidR="00495A62" w:rsidRDefault="00000000">
      <w:pPr>
        <w:spacing w:before="140" w:after="60"/>
        <w:ind w:left="720"/>
      </w:pPr>
      <w:r>
        <w:rPr>
          <w:b/>
          <w:bCs/>
          <w:color w:val="2E4057"/>
          <w:sz w:val="22"/>
          <w:szCs w:val="22"/>
        </w:rPr>
        <w:lastRenderedPageBreak/>
        <w:t>The Liability Allocation</w:t>
      </w:r>
    </w:p>
    <w:p w14:paraId="5F6406E2" w14:textId="77777777" w:rsidR="00495A62" w:rsidRDefault="00000000">
      <w:pPr>
        <w:spacing w:before="100" w:after="100" w:line="260" w:lineRule="auto"/>
        <w:ind w:left="720" w:right="360"/>
        <w:jc w:val="both"/>
      </w:pPr>
      <w:r>
        <w:rPr>
          <w:i/>
          <w:iCs/>
          <w:color w:val="333333"/>
          <w:sz w:val="22"/>
          <w:szCs w:val="22"/>
        </w:rPr>
        <w:t xml:space="preserve">The Lead Buyer administrative liability provision in subsection (d) is essential for recruiting Lead Buyers. No state or local government will volunteer to lead a multi-jurisdiction PoC Procurement if doing so exposes it to joint and several liability for every other member's procurement </w:t>
      </w:r>
      <w:proofErr w:type="gramStart"/>
      <w:r>
        <w:rPr>
          <w:i/>
          <w:iCs/>
          <w:color w:val="333333"/>
          <w:sz w:val="22"/>
          <w:szCs w:val="22"/>
        </w:rPr>
        <w:t>obligations</w:t>
      </w:r>
      <w:proofErr w:type="gramEnd"/>
      <w:r>
        <w:rPr>
          <w:i/>
          <w:iCs/>
          <w:color w:val="333333"/>
          <w:sz w:val="22"/>
          <w:szCs w:val="22"/>
        </w:rPr>
        <w:t xml:space="preserve">, citizen data incidents, or contract disputes. The Lead Buyer model, drawn from NASPO </w:t>
      </w:r>
      <w:proofErr w:type="spellStart"/>
      <w:r>
        <w:rPr>
          <w:i/>
          <w:iCs/>
          <w:color w:val="333333"/>
          <w:sz w:val="22"/>
          <w:szCs w:val="22"/>
        </w:rPr>
        <w:t>ValuePoint</w:t>
      </w:r>
      <w:proofErr w:type="spellEnd"/>
      <w:r>
        <w:rPr>
          <w:i/>
          <w:iCs/>
          <w:color w:val="333333"/>
          <w:sz w:val="22"/>
          <w:szCs w:val="22"/>
        </w:rPr>
        <w:t xml:space="preserve"> governance, assigns administrative responsibility, including protest defense and contract administration, to the Lead Buyer while limiting participating members' exposure to their proportionate financial commitments. The carve-out for each member's independent obligations regarding Citizen Data and citizen-facing services within its own jurisdiction is necessary because each government's fiduciary obligations to its own citizens are non-delegable and cannot be transferred to another jurisdiction's procurement administration.</w:t>
      </w:r>
    </w:p>
    <w:p w14:paraId="1B690650" w14:textId="77777777" w:rsidR="00495A62" w:rsidRDefault="00000000">
      <w:pPr>
        <w:spacing w:before="140" w:after="60"/>
        <w:ind w:left="720"/>
      </w:pPr>
      <w:r>
        <w:rPr>
          <w:b/>
          <w:color w:val="2E4057"/>
          <w:sz w:val="22"/>
          <w:szCs w:val="22"/>
        </w:rPr>
        <w:t>Knowledge Generation and the Public Value of Consortium Procurement</w:t>
      </w:r>
    </w:p>
    <w:p w14:paraId="2723E85B" w14:textId="77777777" w:rsidR="00495A62" w:rsidRDefault="00000000">
      <w:pPr>
        <w:spacing w:before="100" w:after="100" w:line="260" w:lineRule="auto"/>
        <w:ind w:left="720" w:right="360"/>
        <w:jc w:val="both"/>
      </w:pPr>
      <w:r>
        <w:rPr>
          <w:i/>
          <w:color w:val="333333"/>
          <w:sz w:val="22"/>
          <w:szCs w:val="22"/>
        </w:rPr>
        <w:t xml:space="preserve">The rationale for the Consortium Procurement mechanism extends beyond cost-sharing and scale. As developed in Part II, Section G of this working paper, consortia operating under a common framework generate knowledge that no single government can produce alone. A consortium PoC </w:t>
      </w:r>
      <w:proofErr w:type="gramStart"/>
      <w:r>
        <w:rPr>
          <w:i/>
          <w:color w:val="333333"/>
          <w:sz w:val="22"/>
          <w:szCs w:val="22"/>
        </w:rPr>
        <w:t>run across</w:t>
      </w:r>
      <w:proofErr w:type="gramEnd"/>
      <w:r>
        <w:rPr>
          <w:i/>
          <w:color w:val="333333"/>
          <w:sz w:val="22"/>
          <w:szCs w:val="22"/>
        </w:rPr>
        <w:t xml:space="preserve"> operationally diverse member governments produces empirical evidence about solution performance across varied environments, failure modes that would not appear in a single deployment context, and implementation lessons that reduce the cost and risk of subsequent procurements by members and non-members alike. The mandatory Post-PoC Report requirement of Section 3B-308(e) is the instrument through which this knowledge is captured and made available. Procuring Governments considering consortium formation should treat the knowledge-generation function as a primary purpose of the arrangement, not merely a byproduct of cost-sharing.</w:t>
      </w:r>
    </w:p>
    <w:p w14:paraId="2795B4DD" w14:textId="77777777" w:rsidR="00495A62" w:rsidRDefault="00000000">
      <w:pPr>
        <w:spacing w:before="140" w:after="60"/>
        <w:ind w:left="720"/>
      </w:pPr>
      <w:r>
        <w:rPr>
          <w:b/>
          <w:color w:val="2E4057"/>
          <w:sz w:val="22"/>
          <w:szCs w:val="22"/>
        </w:rPr>
        <w:t>Market-Shaping Through Collective Demand</w:t>
      </w:r>
    </w:p>
    <w:p w14:paraId="354858E7" w14:textId="77777777" w:rsidR="00495A62" w:rsidRDefault="00000000">
      <w:pPr>
        <w:spacing w:before="100" w:after="100" w:line="260" w:lineRule="auto"/>
        <w:ind w:left="720" w:right="360"/>
        <w:jc w:val="both"/>
      </w:pPr>
      <w:r>
        <w:rPr>
          <w:i/>
          <w:color w:val="333333"/>
          <w:sz w:val="22"/>
          <w:szCs w:val="22"/>
        </w:rPr>
        <w:t xml:space="preserve">When a Consortium representing substantial combined deployment volume specifies common standards for citizen data protection, security architecture, or interoperability as conditions of PoC participation, the effect extends beyond the consortium's own contracts. Vendors building toward commercial deployment of a genuinely novel technology treat credible, large-scale government demand as a market signal. Standards embedded in consortium PoC contracts become the reference point against which solutions are developed across the vendor community, because vendors who want access to state and local government markets build to those standards as a matter of business practice. This market-shaping function is most potent in the early phases of </w:t>
      </w:r>
      <w:proofErr w:type="gramStart"/>
      <w:r>
        <w:rPr>
          <w:i/>
          <w:color w:val="333333"/>
          <w:sz w:val="22"/>
          <w:szCs w:val="22"/>
        </w:rPr>
        <w:t>a technology's</w:t>
      </w:r>
      <w:proofErr w:type="gramEnd"/>
      <w:r>
        <w:rPr>
          <w:i/>
          <w:color w:val="333333"/>
          <w:sz w:val="22"/>
          <w:szCs w:val="22"/>
        </w:rPr>
        <w:t xml:space="preserve"> development, precisely when PoC Procurement is most relevant. Consortium members who approach their collective demand strategically, embedding demanding public-interest standards in their PoC specifications, are exercising a form of market governance that later regulatory action cannot replicate at equivalent cost or effectiveness.</w:t>
      </w:r>
    </w:p>
    <w:p w14:paraId="33876EDC" w14:textId="77777777" w:rsidR="00495A62" w:rsidRDefault="00000000">
      <w:pPr>
        <w:spacing w:before="140" w:after="60"/>
        <w:ind w:left="720"/>
      </w:pPr>
      <w:r>
        <w:rPr>
          <w:b/>
          <w:color w:val="2E4057"/>
          <w:sz w:val="22"/>
          <w:szCs w:val="22"/>
        </w:rPr>
        <w:t>Constitutional Stewardship and the Standard-Setting Opportunity</w:t>
      </w:r>
    </w:p>
    <w:p w14:paraId="6DB4B8B3" w14:textId="77777777" w:rsidR="00495A62" w:rsidRDefault="00000000">
      <w:pPr>
        <w:spacing w:before="100" w:after="100" w:line="260" w:lineRule="auto"/>
        <w:ind w:left="720" w:right="360"/>
        <w:jc w:val="both"/>
      </w:pPr>
      <w:r>
        <w:rPr>
          <w:i/>
          <w:color w:val="333333"/>
          <w:sz w:val="22"/>
          <w:szCs w:val="22"/>
        </w:rPr>
        <w:t xml:space="preserve">The standards that government consortia embed in PoC contracts for technologies involving citizen data or citizen-facing services are not merely procurement </w:t>
      </w:r>
      <w:r>
        <w:rPr>
          <w:i/>
          <w:color w:val="333333"/>
          <w:sz w:val="22"/>
          <w:szCs w:val="22"/>
        </w:rPr>
        <w:lastRenderedPageBreak/>
        <w:t xml:space="preserve">requirements. They are expressions of the government's constitutional obligations to the citizens </w:t>
      </w:r>
      <w:proofErr w:type="gramStart"/>
      <w:r>
        <w:rPr>
          <w:i/>
          <w:color w:val="333333"/>
          <w:sz w:val="22"/>
          <w:szCs w:val="22"/>
        </w:rPr>
        <w:t>those</w:t>
      </w:r>
      <w:proofErr w:type="gramEnd"/>
      <w:r>
        <w:rPr>
          <w:i/>
          <w:color w:val="333333"/>
          <w:sz w:val="22"/>
          <w:szCs w:val="22"/>
        </w:rPr>
        <w:t xml:space="preserve"> technologies will serve. The procurement phase is the window during which those obligations can be given operational expression before market patterns </w:t>
      </w:r>
      <w:proofErr w:type="gramStart"/>
      <w:r>
        <w:rPr>
          <w:i/>
          <w:color w:val="333333"/>
          <w:sz w:val="22"/>
          <w:szCs w:val="22"/>
        </w:rPr>
        <w:t>solidify</w:t>
      </w:r>
      <w:proofErr w:type="gramEnd"/>
      <w:r>
        <w:rPr>
          <w:i/>
          <w:color w:val="333333"/>
          <w:sz w:val="22"/>
          <w:szCs w:val="22"/>
        </w:rPr>
        <w:t xml:space="preserve"> and the cost of correction rises. Frameworks that articulate what those constitutional obligations require in technical and contractual terms are therefore relevant to consortium PoC design even when they are not themselves procurement instruments. The Fiduciary Commons framework is one such effort: it proposes constitutional architecture for government stewardship of citizen data and civic information systems and addresses, with legal and technical rigor, questions about what government owes citizens when novel technology mediates civic relationships. It is noted here not as a definitive answer but as an example of the kind of principled analysis that should inform what standards a consortium embeds in its PoC specifications. These are open and genuinely contested questions. What the consortium mechanism ensures is that government has the leverage to require answers in contract before technology is deployed, and that the answers chosen </w:t>
      </w:r>
      <w:proofErr w:type="gramStart"/>
      <w:r>
        <w:rPr>
          <w:i/>
          <w:color w:val="333333"/>
          <w:sz w:val="22"/>
          <w:szCs w:val="22"/>
        </w:rPr>
        <w:t>reflect</w:t>
      </w:r>
      <w:proofErr w:type="gramEnd"/>
      <w:r>
        <w:rPr>
          <w:i/>
          <w:color w:val="333333"/>
          <w:sz w:val="22"/>
          <w:szCs w:val="22"/>
        </w:rPr>
        <w:t xml:space="preserve"> deliberate constitutional analysis rather than vendor defaults.</w:t>
      </w:r>
    </w:p>
    <w:p w14:paraId="491E8F82" w14:textId="77777777" w:rsidR="00495A62" w:rsidRDefault="00000000">
      <w:pPr>
        <w:spacing w:before="140" w:after="60"/>
        <w:ind w:left="720"/>
      </w:pPr>
      <w:r>
        <w:rPr>
          <w:b/>
          <w:color w:val="2E4057"/>
          <w:sz w:val="22"/>
          <w:szCs w:val="22"/>
        </w:rPr>
        <w:t>The Compact Clause</w:t>
      </w:r>
    </w:p>
    <w:p w14:paraId="34743808" w14:textId="77777777" w:rsidR="00495A62" w:rsidRDefault="00000000">
      <w:pPr>
        <w:spacing w:before="100" w:after="100" w:line="260" w:lineRule="auto"/>
        <w:ind w:left="720" w:right="360"/>
        <w:jc w:val="both"/>
      </w:pPr>
      <w:r>
        <w:rPr>
          <w:i/>
          <w:color w:val="333333"/>
          <w:sz w:val="22"/>
          <w:szCs w:val="22"/>
        </w:rPr>
        <w:t xml:space="preserve">Cooperative procurement agreements of the kind contemplated by this section fall within the well-established cooperative federalism exception to the Compact Clause of Article I, Section 10. Congressional consent is required only for interstate agreements that increase state political power at the expense of federal supremacy or that directly implicate federal interests. Procurement cooperation does </w:t>
      </w:r>
      <w:proofErr w:type="gramStart"/>
      <w:r>
        <w:rPr>
          <w:i/>
          <w:color w:val="333333"/>
          <w:sz w:val="22"/>
          <w:szCs w:val="22"/>
        </w:rPr>
        <w:t>neither</w:t>
      </w:r>
      <w:proofErr w:type="gramEnd"/>
      <w:r>
        <w:rPr>
          <w:i/>
          <w:color w:val="333333"/>
          <w:sz w:val="22"/>
          <w:szCs w:val="22"/>
        </w:rPr>
        <w:t xml:space="preserve">. NASPO </w:t>
      </w:r>
      <w:proofErr w:type="spellStart"/>
      <w:r>
        <w:rPr>
          <w:i/>
          <w:color w:val="333333"/>
          <w:sz w:val="22"/>
          <w:szCs w:val="22"/>
        </w:rPr>
        <w:t>ValuePoint's</w:t>
      </w:r>
      <w:proofErr w:type="spellEnd"/>
      <w:r>
        <w:rPr>
          <w:i/>
          <w:color w:val="333333"/>
          <w:sz w:val="22"/>
          <w:szCs w:val="22"/>
        </w:rPr>
        <w:t xml:space="preserve"> operation across forty-seven states for more than two decades without a successful compact challenge provides strong empirical support for this conclusion. Adopting states should review any state constitutional provisions governing interstate cooperation agreements to confirm consistency with the Article 3B consortium structure.</w:t>
      </w:r>
    </w:p>
    <w:p w14:paraId="69966185" w14:textId="77777777" w:rsidR="00495A62" w:rsidRDefault="00000000">
      <w:pPr>
        <w:spacing w:before="140" w:after="60"/>
        <w:ind w:left="720"/>
      </w:pPr>
      <w:r>
        <w:rPr>
          <w:b/>
          <w:color w:val="2E4057"/>
          <w:sz w:val="22"/>
          <w:szCs w:val="22"/>
        </w:rPr>
        <w:t>Protest Insulation</w:t>
      </w:r>
    </w:p>
    <w:p w14:paraId="49282A9F" w14:textId="77777777" w:rsidR="00495A62" w:rsidRDefault="00000000">
      <w:pPr>
        <w:spacing w:before="100" w:after="100" w:line="260" w:lineRule="auto"/>
        <w:ind w:left="720" w:right="360"/>
        <w:jc w:val="both"/>
      </w:pPr>
      <w:r>
        <w:rPr>
          <w:i/>
          <w:color w:val="333333"/>
          <w:sz w:val="22"/>
          <w:szCs w:val="22"/>
        </w:rPr>
        <w:t xml:space="preserve">A </w:t>
      </w:r>
      <w:proofErr w:type="spellStart"/>
      <w:r>
        <w:rPr>
          <w:i/>
          <w:color w:val="333333"/>
          <w:sz w:val="22"/>
          <w:szCs w:val="22"/>
        </w:rPr>
        <w:t>downselect</w:t>
      </w:r>
      <w:proofErr w:type="spellEnd"/>
      <w:r>
        <w:rPr>
          <w:i/>
          <w:color w:val="333333"/>
          <w:sz w:val="22"/>
          <w:szCs w:val="22"/>
        </w:rPr>
        <w:t xml:space="preserve"> decision made by a Consortium of multiple governments applying common pre-published criteria under Section 3B-203(e) is structurally more resistant to a successful protest than the same decision made by a single government. The breadth of participation creates a stronger presumption that the evaluation was not manipulated to favor a particular vendor, and the shared Phase Gate Review Record creates a more extensive and diverse evidentiary basis for the decision. This structural benefit does not eliminate protest risk, and the pre-publication requirements of Section 3B-203 remain the primary safeguard, but it is a meaningful ancillary benefit of consortium formation that procurement officers should be aware of when assessing the governance and accountability advantages of the consortium model.</w:t>
      </w:r>
    </w:p>
    <w:p w14:paraId="24F7E08B"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3B-206. Intellectual Property.</w:t>
      </w:r>
    </w:p>
    <w:p w14:paraId="546DF29C" w14:textId="77777777" w:rsidR="00495A62" w:rsidRDefault="00000000">
      <w:pPr>
        <w:spacing w:before="100" w:after="100" w:line="276" w:lineRule="auto"/>
        <w:ind w:left="720" w:right="360"/>
        <w:jc w:val="both"/>
      </w:pPr>
      <w:r>
        <w:t>(a) Foreground Intellectual Property. Subject to subsections (c) and (d), a vendor performing work under a PoC Procurement contract shall retain ownership of Foreground Intellectual Property created during the performance of that contract.</w:t>
      </w:r>
    </w:p>
    <w:p w14:paraId="19013AC4" w14:textId="77777777" w:rsidR="00495A62" w:rsidRDefault="00000000">
      <w:pPr>
        <w:spacing w:before="100" w:after="100" w:line="276" w:lineRule="auto"/>
        <w:ind w:left="720" w:right="360"/>
        <w:jc w:val="both"/>
      </w:pPr>
      <w:r>
        <w:lastRenderedPageBreak/>
        <w:t>(b) Government License. As a condition of participation in a PoC Procurement, each vendor shall grant the Procuring Government, and in a Consortium Procurement each Consortium member, a perpetual, irrevocable, royalty-free, non-exclusive license to use, reproduce, modify, and distribute the vendor's Foreground Intellectual Property solely for governmental purposes within the licensed jurisdiction. The license shall survive termination or expiration of the PoC contract.</w:t>
      </w:r>
    </w:p>
    <w:p w14:paraId="5F3840DA" w14:textId="77777777" w:rsidR="00495A62" w:rsidRDefault="00000000">
      <w:pPr>
        <w:spacing w:before="100" w:after="100" w:line="276" w:lineRule="auto"/>
        <w:ind w:left="720" w:right="360"/>
        <w:jc w:val="both"/>
      </w:pPr>
      <w:r>
        <w:t>(c) Citizen Data Carve-Out. Notwithstanding any other provision of this section, Citizen Data generated or processed during a PoC Procurement:</w:t>
      </w:r>
    </w:p>
    <w:p w14:paraId="0C1CC842" w14:textId="77777777" w:rsidR="00495A62" w:rsidRDefault="00000000">
      <w:pPr>
        <w:spacing w:before="80" w:after="80" w:line="276" w:lineRule="auto"/>
        <w:ind w:left="1080" w:right="360"/>
        <w:jc w:val="both"/>
      </w:pPr>
      <w:r>
        <w:t xml:space="preserve">(1) remains the exclusive property of the Procuring Government and shall not be deemed Foreground Intellectual Property of any vendor or </w:t>
      </w:r>
      <w:proofErr w:type="gramStart"/>
      <w:r>
        <w:t>subcontractor;</w:t>
      </w:r>
      <w:proofErr w:type="gramEnd"/>
    </w:p>
    <w:p w14:paraId="473B5661" w14:textId="77777777" w:rsidR="00495A62" w:rsidRDefault="00000000">
      <w:pPr>
        <w:spacing w:before="80" w:after="80" w:line="276" w:lineRule="auto"/>
        <w:ind w:left="1080" w:right="360"/>
        <w:jc w:val="both"/>
      </w:pPr>
      <w:r>
        <w:t>(2) may not be retained, used, analyzed, or commercialized by any vendor or subcontractor for any purpose beyond the specific scope of work authorized under the PoC contract; and</w:t>
      </w:r>
    </w:p>
    <w:p w14:paraId="4A6DAF3D" w14:textId="77777777" w:rsidR="00495A62" w:rsidRDefault="00000000">
      <w:pPr>
        <w:spacing w:before="80" w:after="80" w:line="276" w:lineRule="auto"/>
        <w:ind w:left="1080" w:right="360"/>
        <w:jc w:val="both"/>
      </w:pPr>
      <w:r>
        <w:t>(3) shall be returned to the Procuring Government or destroyed, in accordance with the Procuring Government's applicable data retention obligations, within thirty days of the expiration or termination of the phase in which it was used.</w:t>
      </w:r>
    </w:p>
    <w:p w14:paraId="6CE8957E" w14:textId="77777777" w:rsidR="00495A62" w:rsidRDefault="00000000">
      <w:pPr>
        <w:spacing w:before="100" w:after="100" w:line="276" w:lineRule="auto"/>
        <w:ind w:left="720" w:right="360"/>
        <w:jc w:val="both"/>
      </w:pPr>
      <w:r>
        <w:t>(d) Interoperability and Data Portability. Each vendor's PoC contract shall require the vendor to:</w:t>
      </w:r>
    </w:p>
    <w:p w14:paraId="31BBF6EA" w14:textId="77777777" w:rsidR="00495A62" w:rsidRDefault="00000000">
      <w:pPr>
        <w:spacing w:before="80" w:after="80" w:line="276" w:lineRule="auto"/>
        <w:ind w:left="1080" w:right="360"/>
        <w:jc w:val="both"/>
      </w:pPr>
      <w:r>
        <w:t>(1) document all interfaces, application programming interfaces, and data exchange formats developed as Foreground Intellectual Property during the PoC Procurement; and</w:t>
      </w:r>
    </w:p>
    <w:p w14:paraId="12FC3777" w14:textId="77777777" w:rsidR="00495A62" w:rsidRDefault="00000000">
      <w:pPr>
        <w:spacing w:before="80" w:after="80" w:line="276" w:lineRule="auto"/>
        <w:ind w:left="1080" w:right="360"/>
        <w:jc w:val="both"/>
      </w:pPr>
      <w:r>
        <w:t>(2) license those interfaces, APIs, and data exchange formats to the Procuring Government on the same terms as the general government license in subsection (b), to ensure that future production vendors can build on or integrate with the PoC work without dependency on the original PoC vendor.</w:t>
      </w:r>
    </w:p>
    <w:p w14:paraId="70E89C81" w14:textId="77777777" w:rsidR="00495A62" w:rsidRDefault="00000000">
      <w:pPr>
        <w:spacing w:before="100" w:after="100" w:line="276" w:lineRule="auto"/>
        <w:ind w:left="720" w:right="360"/>
        <w:jc w:val="both"/>
      </w:pPr>
      <w:r>
        <w:t>(e) Background Intellectual Property. A vendor's Background Intellectual Property is not affected by this section. Vendors retain full ownership of Background Intellectual Property used in the performance of a PoC contract. The government license in subsection (b) does not extend to Background Intellectual Property unless the vendor expressly agrees in writing.</w:t>
      </w:r>
    </w:p>
    <w:p w14:paraId="26C8FD9F" w14:textId="77777777" w:rsidR="00495A62" w:rsidRDefault="00000000">
      <w:pPr>
        <w:spacing w:before="100" w:after="100" w:line="276" w:lineRule="auto"/>
        <w:ind w:left="720" w:right="360"/>
        <w:jc w:val="both"/>
      </w:pPr>
      <w:r>
        <w:t>(f) Safe Harbor Modification. The intellectual property framework established by this section is the default framework for PoC Procurements under this Article. Procuring Governments may negotiate modified IP terms in individual PoC contracts or Consortium MOUs, provided that any modification shall:</w:t>
      </w:r>
    </w:p>
    <w:p w14:paraId="07B680E0" w14:textId="77777777" w:rsidR="00495A62" w:rsidRDefault="00000000">
      <w:pPr>
        <w:spacing w:before="80" w:after="80" w:line="276" w:lineRule="auto"/>
        <w:ind w:left="1080" w:right="360"/>
        <w:jc w:val="both"/>
      </w:pPr>
      <w:r>
        <w:lastRenderedPageBreak/>
        <w:t xml:space="preserve">(1) be documented in writing and included in the procurement file before solicitation </w:t>
      </w:r>
      <w:proofErr w:type="gramStart"/>
      <w:r>
        <w:t>issuance;</w:t>
      </w:r>
      <w:proofErr w:type="gramEnd"/>
    </w:p>
    <w:p w14:paraId="7F7AC91E" w14:textId="77777777" w:rsidR="00495A62" w:rsidRDefault="00000000">
      <w:pPr>
        <w:spacing w:before="80" w:after="80" w:line="276" w:lineRule="auto"/>
        <w:ind w:left="1080" w:right="360"/>
        <w:jc w:val="both"/>
      </w:pPr>
      <w:r>
        <w:t>(2) not diminish the Citizen Data Carve-Out in subsection (c), which is non-negotiable; and</w:t>
      </w:r>
    </w:p>
    <w:p w14:paraId="2482897F" w14:textId="77777777" w:rsidR="00495A62" w:rsidRDefault="00000000">
      <w:pPr>
        <w:spacing w:before="80" w:after="80" w:line="276" w:lineRule="auto"/>
        <w:ind w:left="1080" w:right="360"/>
        <w:jc w:val="both"/>
      </w:pPr>
      <w:r>
        <w:t>(3) not eliminate the interoperability requirements of subsection (d).</w:t>
      </w:r>
    </w:p>
    <w:p w14:paraId="3EE1A1E2" w14:textId="77777777" w:rsidR="00495A62" w:rsidRDefault="00000000">
      <w:pPr>
        <w:spacing w:before="200" w:after="80"/>
        <w:ind w:left="720"/>
      </w:pPr>
      <w:r>
        <w:rPr>
          <w:b/>
          <w:bCs/>
          <w:caps/>
          <w:color w:val="2E4057"/>
          <w:sz w:val="22"/>
          <w:szCs w:val="22"/>
        </w:rPr>
        <w:t>OFFICIAL COMMENT</w:t>
      </w:r>
    </w:p>
    <w:p w14:paraId="710C1F49" w14:textId="77777777" w:rsidR="00495A62" w:rsidRDefault="00000000">
      <w:pPr>
        <w:spacing w:before="140" w:after="60"/>
        <w:ind w:left="720"/>
      </w:pPr>
      <w:r>
        <w:rPr>
          <w:b/>
          <w:bCs/>
          <w:color w:val="2E4057"/>
          <w:sz w:val="22"/>
          <w:szCs w:val="22"/>
        </w:rPr>
        <w:t>Purpose and Design</w:t>
      </w:r>
    </w:p>
    <w:p w14:paraId="79191898" w14:textId="77777777" w:rsidR="00495A62" w:rsidRDefault="00000000">
      <w:pPr>
        <w:spacing w:before="100" w:after="100" w:line="260" w:lineRule="auto"/>
        <w:ind w:left="720" w:right="360"/>
        <w:jc w:val="both"/>
      </w:pPr>
      <w:r>
        <w:rPr>
          <w:i/>
          <w:iCs/>
          <w:color w:val="333333"/>
          <w:sz w:val="22"/>
          <w:szCs w:val="22"/>
        </w:rPr>
        <w:t>Section 3B-206 implements the EU Pre-Commercial Procurement IP framework as adapted for American state and local procurement law. The vendor-retains-foreground-IP model with a government non-exclusive license serves three policy objectives simultaneously. It incentivizes vendor participation in PoC Procurement by preserving the vendor's ability to commercialize the technology it develops beyond the initial government customer, which is particularly important for early-stage technology companies whose primary asset is their IP. It protects the government's ability to use, adapt, and build on PoC results without dependency on or license payments to the original vendor, ensuring that the public investment in PoC work produces durable public benefit. And it promotes market development by ensuring that PoC technologies can achieve the commercial scale that drives down per-unit costs for government customers in subsequent production procurements.</w:t>
      </w:r>
    </w:p>
    <w:p w14:paraId="52D180C5" w14:textId="77777777" w:rsidR="00495A62" w:rsidRDefault="00000000">
      <w:pPr>
        <w:spacing w:before="140" w:after="60"/>
        <w:ind w:left="720"/>
      </w:pPr>
      <w:r>
        <w:rPr>
          <w:b/>
          <w:bCs/>
          <w:color w:val="2E4057"/>
          <w:sz w:val="22"/>
          <w:szCs w:val="22"/>
        </w:rPr>
        <w:t>The Citizen Data Carve-Out</w:t>
      </w:r>
    </w:p>
    <w:p w14:paraId="4A45E1A7" w14:textId="77777777" w:rsidR="00495A62" w:rsidRDefault="00000000">
      <w:pPr>
        <w:spacing w:before="100" w:after="100" w:line="260" w:lineRule="auto"/>
        <w:ind w:left="720" w:right="360"/>
        <w:jc w:val="both"/>
      </w:pPr>
      <w:r>
        <w:rPr>
          <w:i/>
          <w:iCs/>
          <w:color w:val="333333"/>
          <w:sz w:val="22"/>
          <w:szCs w:val="22"/>
        </w:rPr>
        <w:t>Subsection (c) is the most important provision in this section and is designated non-negotiable in the safe harbor modification framework of subsection (f). Its purpose is to implement the duty of loyalty dimension of the government's fiduciary obligation to citizens. Citizen Data is not a byproduct of government procurement; it is the record of citizens' interactions with their government, generated under legal compulsion and held in trust. It cannot be alienated, commercialized, or appropriated as a vendor's intellectual property through a procurement transaction regardless of what IP framework otherwise governs the vendor's creative work. The thirty-day return or destruction requirement ensures that Citizen Data does not remain in vendor hands beyond the operational necessity that justified its access. Procuring Governments should verify that their applicable state data protection statutes do not impose shorter return or destruction timelines that would require modification of this provision.</w:t>
      </w:r>
    </w:p>
    <w:p w14:paraId="75EEA692" w14:textId="77777777" w:rsidR="00495A62" w:rsidRDefault="00000000">
      <w:pPr>
        <w:spacing w:before="140" w:after="60"/>
        <w:ind w:left="720"/>
      </w:pPr>
      <w:r>
        <w:rPr>
          <w:b/>
          <w:bCs/>
          <w:color w:val="2E4057"/>
          <w:sz w:val="22"/>
          <w:szCs w:val="22"/>
        </w:rPr>
        <w:t>The Interoperability Requirement</w:t>
      </w:r>
    </w:p>
    <w:p w14:paraId="5F792640" w14:textId="77777777" w:rsidR="00495A62" w:rsidRDefault="00000000">
      <w:pPr>
        <w:spacing w:before="100" w:after="100" w:line="260" w:lineRule="auto"/>
        <w:ind w:left="720" w:right="360"/>
        <w:jc w:val="both"/>
      </w:pPr>
      <w:r>
        <w:rPr>
          <w:i/>
          <w:iCs/>
          <w:color w:val="333333"/>
          <w:sz w:val="22"/>
          <w:szCs w:val="22"/>
        </w:rPr>
        <w:t xml:space="preserve">Subsection (d) addresses a failure mode that the EU PCP framework and domestic technology procurement experience have documented: PoC work that produces technically successful results but is practically inaccessible to future vendors because interfaces, APIs, and data exchange formats were not documented or licensed. Without the interoperability requirement, a successful PoC creates a de facto switching cost that advantages the PoC vendor in the subsequent production competition, regardless of whether the government intended to favor that vendor. The interoperability requirement is the structural mechanism that ensures the competition-preserving objectives of Article 3B extend from the PoC phase through </w:t>
      </w:r>
      <w:proofErr w:type="gramStart"/>
      <w:r>
        <w:rPr>
          <w:i/>
          <w:iCs/>
          <w:color w:val="333333"/>
          <w:sz w:val="22"/>
          <w:szCs w:val="22"/>
        </w:rPr>
        <w:t>the production</w:t>
      </w:r>
      <w:proofErr w:type="gramEnd"/>
      <w:r>
        <w:rPr>
          <w:i/>
          <w:iCs/>
          <w:color w:val="333333"/>
          <w:sz w:val="22"/>
          <w:szCs w:val="22"/>
        </w:rPr>
        <w:t xml:space="preserve"> </w:t>
      </w:r>
      <w:r>
        <w:rPr>
          <w:i/>
          <w:iCs/>
          <w:color w:val="333333"/>
          <w:sz w:val="22"/>
          <w:szCs w:val="22"/>
        </w:rPr>
        <w:lastRenderedPageBreak/>
        <w:t>procurement. It is also designated non-negotiable in the safe harbor framework for this reason.</w:t>
      </w:r>
    </w:p>
    <w:p w14:paraId="45BD3ECA" w14:textId="77777777" w:rsidR="00495A62" w:rsidRDefault="00000000">
      <w:pPr>
        <w:spacing w:before="140" w:after="60"/>
        <w:ind w:left="720"/>
      </w:pPr>
      <w:r>
        <w:rPr>
          <w:b/>
          <w:bCs/>
          <w:color w:val="2E4057"/>
          <w:sz w:val="22"/>
          <w:szCs w:val="22"/>
        </w:rPr>
        <w:t>The Safe Harbor Modification Framework</w:t>
      </w:r>
    </w:p>
    <w:p w14:paraId="081EA78C" w14:textId="77777777" w:rsidR="00495A62" w:rsidRDefault="00000000">
      <w:pPr>
        <w:spacing w:before="100" w:after="100" w:line="260" w:lineRule="auto"/>
        <w:ind w:left="720" w:right="360"/>
        <w:jc w:val="both"/>
      </w:pPr>
      <w:r>
        <w:rPr>
          <w:i/>
          <w:iCs/>
          <w:color w:val="333333"/>
          <w:sz w:val="22"/>
          <w:szCs w:val="22"/>
        </w:rPr>
        <w:t>Subsection (f) acknowledges that the default IP framework will not be optimal in all PoC contexts. Some procurements, particularly those involving technologies with significant national security, public safety, or public health implications, may warrant government ownership of Foreground IP rather than a non-exclusive license. Others may involve vendor Background IP so central to the PoC work that broader license terms are necessary to achieve the government's operational objectives. The safe harbor framework permits these modifications while preserving the two provisions, the Citizen Data Carve-Out and the interoperability requirement, that protect interests beyond the immediate procurement relationship.</w:t>
      </w:r>
    </w:p>
    <w:p w14:paraId="1B0E695F"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3B-207. Subcontractor Standards and Flow-Down Clauses.</w:t>
      </w:r>
    </w:p>
    <w:p w14:paraId="12ED2E3E" w14:textId="77777777" w:rsidR="00495A62" w:rsidRDefault="00000000">
      <w:pPr>
        <w:spacing w:before="100" w:after="100" w:line="276" w:lineRule="auto"/>
        <w:ind w:left="720" w:right="360"/>
        <w:jc w:val="both"/>
      </w:pPr>
      <w:r>
        <w:t>(a) Flow-Down Clause Requirement. Every contract awarded under this Article shall include mandatory flow-down clauses, drafted to name the Procuring Government as an express third-party beneficiary, requiring each subcontractor performing Core Technical Work, as defined in subsection (b), to be directly bound to the Procuring Government with respect to the obligations specified in subsections (c), (d), and (e).</w:t>
      </w:r>
    </w:p>
    <w:p w14:paraId="3013B400" w14:textId="77777777" w:rsidR="00495A62" w:rsidRDefault="00000000">
      <w:pPr>
        <w:spacing w:before="100" w:after="100" w:line="276" w:lineRule="auto"/>
        <w:ind w:left="720" w:right="360"/>
        <w:jc w:val="both"/>
      </w:pPr>
      <w:r>
        <w:t>(b) Core Technical Work Defined. For purposes of this section, "Core Technical Work" means work performed by a subcontractor under a PoC Procurement contract whose failure could reasonably be expected to cause: data corruption affecting Citizen Data; a security breach involving government information systems or Citizen Data; interruption or degradation of a Live System or citizen-facing service; or material deviation from the PoC's defined learning objectives or acceptance criteria as established under Section 3B-203.</w:t>
      </w:r>
    </w:p>
    <w:p w14:paraId="7EED35AB" w14:textId="77777777" w:rsidR="00495A62" w:rsidRDefault="00000000">
      <w:pPr>
        <w:spacing w:before="100" w:after="100" w:line="276" w:lineRule="auto"/>
        <w:ind w:left="720" w:right="360"/>
        <w:jc w:val="both"/>
      </w:pPr>
      <w:r>
        <w:t xml:space="preserve">(c) Data Protection and Security Obligations. Flow-down </w:t>
      </w:r>
      <w:proofErr w:type="gramStart"/>
      <w:r>
        <w:t>clauses shall</w:t>
      </w:r>
      <w:proofErr w:type="gramEnd"/>
      <w:r>
        <w:t xml:space="preserve"> require each subcontractor performing Core Technical Work to be directly bound to the Procuring Government as a named third-party beneficiary for the following obligations:</w:t>
      </w:r>
    </w:p>
    <w:p w14:paraId="6D30E0DF" w14:textId="77777777" w:rsidR="00495A62" w:rsidRDefault="00000000">
      <w:pPr>
        <w:spacing w:before="80" w:after="80" w:line="276" w:lineRule="auto"/>
        <w:ind w:left="1080" w:right="360"/>
        <w:jc w:val="both"/>
      </w:pPr>
      <w:r>
        <w:t xml:space="preserve">(1) compliance with all data handling, access control, and security requirements applicable to the prime contractor under the PoC </w:t>
      </w:r>
      <w:proofErr w:type="gramStart"/>
      <w:r>
        <w:t>contract;</w:t>
      </w:r>
      <w:proofErr w:type="gramEnd"/>
    </w:p>
    <w:p w14:paraId="072FBFAE" w14:textId="77777777" w:rsidR="00495A62" w:rsidRDefault="00000000">
      <w:pPr>
        <w:spacing w:before="80" w:after="80" w:line="276" w:lineRule="auto"/>
        <w:ind w:left="1080" w:right="360"/>
        <w:jc w:val="both"/>
      </w:pPr>
      <w:r>
        <w:t xml:space="preserve">(2) immediate notification to the Procuring Government, independent of and in addition to any notification to the prime contractor, of any actual or suspected security breach, unauthorized access, or data loss involving Citizen Data or government information systems, within the timeframe required by applicable state data breach notification </w:t>
      </w:r>
      <w:proofErr w:type="gramStart"/>
      <w:r>
        <w:t>law;</w:t>
      </w:r>
      <w:proofErr w:type="gramEnd"/>
    </w:p>
    <w:p w14:paraId="4DD922A5" w14:textId="77777777" w:rsidR="00495A62" w:rsidRDefault="00000000">
      <w:pPr>
        <w:spacing w:before="80" w:after="80" w:line="276" w:lineRule="auto"/>
        <w:ind w:left="1080" w:right="360"/>
        <w:jc w:val="both"/>
      </w:pPr>
      <w:r>
        <w:lastRenderedPageBreak/>
        <w:t>(3) return or destruction of all Citizen Data in accordance with Section 3B-206(c); and</w:t>
      </w:r>
    </w:p>
    <w:p w14:paraId="1E12E2C5" w14:textId="77777777" w:rsidR="00495A62" w:rsidRDefault="00000000">
      <w:pPr>
        <w:spacing w:before="80" w:after="80" w:line="276" w:lineRule="auto"/>
        <w:ind w:left="1080" w:right="360"/>
        <w:jc w:val="both"/>
      </w:pPr>
      <w:r>
        <w:t>(4) cooperation with any government-directed security audit or assessment conducted during or after the PoC Procurement.</w:t>
      </w:r>
    </w:p>
    <w:p w14:paraId="55925657" w14:textId="77777777" w:rsidR="00495A62" w:rsidRDefault="00000000">
      <w:pPr>
        <w:spacing w:before="100" w:after="100" w:line="276" w:lineRule="auto"/>
        <w:ind w:left="720" w:right="360"/>
        <w:jc w:val="both"/>
      </w:pPr>
      <w:r>
        <w:t xml:space="preserve">(d) Material Breach and Gross Negligence Liability. Flow-down </w:t>
      </w:r>
      <w:proofErr w:type="gramStart"/>
      <w:r>
        <w:t>clauses shall</w:t>
      </w:r>
      <w:proofErr w:type="gramEnd"/>
      <w:r>
        <w:t xml:space="preserve"> require each subcontractor performing Core Technical Work to be directly liable to the Procuring Government as a named third-party beneficiary for losses caused by the subcontractor's material breach of its data protection and security obligations under subsection (c) or by the subcontractor's gross negligence in the performance of Core Technical Work. The Procuring Government's right </w:t>
      </w:r>
      <w:proofErr w:type="gramStart"/>
      <w:r>
        <w:t>of</w:t>
      </w:r>
      <w:proofErr w:type="gramEnd"/>
      <w:r>
        <w:t xml:space="preserve"> direct action against a subcontractor under this subsection:</w:t>
      </w:r>
    </w:p>
    <w:p w14:paraId="6A0718FA" w14:textId="77777777" w:rsidR="00495A62" w:rsidRDefault="00000000">
      <w:pPr>
        <w:spacing w:before="80" w:after="80" w:line="276" w:lineRule="auto"/>
        <w:ind w:left="1080" w:right="360"/>
        <w:jc w:val="both"/>
      </w:pPr>
      <w:r>
        <w:t xml:space="preserve">(1) is independent of and does not require the prior exercise of the prime contractor's contractual rights against the </w:t>
      </w:r>
      <w:proofErr w:type="gramStart"/>
      <w:r>
        <w:t>subcontractor;</w:t>
      </w:r>
      <w:proofErr w:type="gramEnd"/>
    </w:p>
    <w:p w14:paraId="2D5612B4" w14:textId="77777777" w:rsidR="00495A62" w:rsidRDefault="00000000">
      <w:pPr>
        <w:spacing w:before="80" w:after="80" w:line="276" w:lineRule="auto"/>
        <w:ind w:left="1080" w:right="360"/>
        <w:jc w:val="both"/>
      </w:pPr>
      <w:r>
        <w:t>(2) does not affect the prime contractor's obligations to the Procuring Government under the primary PoC contract; and</w:t>
      </w:r>
    </w:p>
    <w:p w14:paraId="5A183BBC" w14:textId="77777777" w:rsidR="00495A62" w:rsidRDefault="00000000">
      <w:pPr>
        <w:spacing w:before="80" w:after="80" w:line="276" w:lineRule="auto"/>
        <w:ind w:left="1080" w:right="360"/>
        <w:jc w:val="both"/>
      </w:pPr>
      <w:r>
        <w:t>(3) is in addition to, and not in substitution for, any other remedy available to the Procuring Government under this Code, applicable law, or the primary PoC contract.</w:t>
      </w:r>
    </w:p>
    <w:p w14:paraId="6EB88BE9" w14:textId="77777777" w:rsidR="00495A62" w:rsidRDefault="00000000">
      <w:pPr>
        <w:spacing w:before="100" w:after="100" w:line="276" w:lineRule="auto"/>
        <w:ind w:left="720" w:right="360"/>
        <w:jc w:val="both"/>
      </w:pPr>
      <w:r>
        <w:t xml:space="preserve">(e) Material Misrepresentation Liability. Flow-down </w:t>
      </w:r>
      <w:proofErr w:type="gramStart"/>
      <w:r>
        <w:t>clauses shall</w:t>
      </w:r>
      <w:proofErr w:type="gramEnd"/>
      <w:r>
        <w:t xml:space="preserve"> require each subcontractor performing Core Technical Work to be directly liable to the Procuring Government as a named third-party beneficiary for losses caused by knowing misrepresentation of the subcontractor's technical qualifications, security certifications, or performance capabilities in connection with the PoC Procurement or the performance of Core Technical Work.</w:t>
      </w:r>
    </w:p>
    <w:p w14:paraId="38DC6A13" w14:textId="77777777" w:rsidR="00495A62" w:rsidRDefault="00000000">
      <w:pPr>
        <w:spacing w:before="100" w:after="100" w:line="276" w:lineRule="auto"/>
        <w:ind w:left="720" w:right="360"/>
        <w:jc w:val="both"/>
      </w:pPr>
      <w:r>
        <w:t>(f) Prime Contractor Obligations Unaffected. Nothing in this section shall be construed to reduce or limit the prime contractor's obligations to the Procuring Government under the primary PoC contract. The flow-down obligations of subcontractors under this section are additional to, and not in substitution for, the prime contractor's full responsibility for all work performed under the PoC contract.</w:t>
      </w:r>
    </w:p>
    <w:p w14:paraId="7ADE1B43" w14:textId="77777777" w:rsidR="00495A62" w:rsidRDefault="00000000">
      <w:pPr>
        <w:spacing w:before="100" w:after="100" w:line="276" w:lineRule="auto"/>
        <w:ind w:left="720" w:right="360"/>
        <w:jc w:val="both"/>
      </w:pPr>
      <w:r>
        <w:t>(g) Subcontractor Prequalification. The Procuring Government may require, as a condition of prime contractor participation in a PoC Procurement, that subcontractors performing Core Technical Work in defined technical domains hold a current authorization or certification under a recognized subcontractor prequalification framework, including any framework developed pursuant to the implementation recommendations in Appendix 3B. The solicitation shall identify any applicable prequalification requirements before proposals are due.</w:t>
      </w:r>
    </w:p>
    <w:p w14:paraId="35C8DAAB" w14:textId="77777777" w:rsidR="00495A62" w:rsidRDefault="00000000">
      <w:pPr>
        <w:spacing w:before="200" w:after="80"/>
        <w:ind w:left="720"/>
      </w:pPr>
      <w:r>
        <w:rPr>
          <w:b/>
          <w:bCs/>
          <w:caps/>
          <w:color w:val="2E4057"/>
          <w:sz w:val="22"/>
          <w:szCs w:val="22"/>
        </w:rPr>
        <w:lastRenderedPageBreak/>
        <w:t>OFFICIAL COMMENT</w:t>
      </w:r>
    </w:p>
    <w:p w14:paraId="75799960" w14:textId="77777777" w:rsidR="00495A62" w:rsidRDefault="00000000">
      <w:pPr>
        <w:spacing w:before="140" w:after="60"/>
        <w:ind w:left="720"/>
      </w:pPr>
      <w:r>
        <w:rPr>
          <w:b/>
          <w:bCs/>
          <w:color w:val="2E4057"/>
          <w:sz w:val="22"/>
          <w:szCs w:val="22"/>
        </w:rPr>
        <w:t>Purpose and Design</w:t>
      </w:r>
    </w:p>
    <w:p w14:paraId="54FDEE1C" w14:textId="77777777" w:rsidR="00495A62" w:rsidRDefault="00000000">
      <w:pPr>
        <w:spacing w:before="100" w:after="100" w:line="260" w:lineRule="auto"/>
        <w:ind w:left="720" w:right="360"/>
        <w:jc w:val="both"/>
      </w:pPr>
      <w:r>
        <w:rPr>
          <w:i/>
          <w:iCs/>
          <w:color w:val="333333"/>
          <w:sz w:val="22"/>
          <w:szCs w:val="22"/>
        </w:rPr>
        <w:t>Section 3B-207 addresses the structural mismatch between formal accountability and actual expertise that Part II, Section F identifies as the core contract management problem in complex PoC work. The flow-down clause approach is recommended over statutory privity extension for reasons explained in Part II: extending full government contract privity to all subcontractors would impose procurement integrity requirements, protest exposure, and administrative law compliance burdens calibrated for prime contractor relationships on specialized subcontractors whose participation is essential to genuinely novel PoC work, likely deterring participation and defeating the purpose of Article 3B. The flow-down approach creates direct accountability for the specific categories of harm that the subcontractor accountability gap creates, without requiring subcontractors to bear the full burden of a direct government contract relationship.</w:t>
      </w:r>
    </w:p>
    <w:p w14:paraId="2CA49A4A" w14:textId="77777777" w:rsidR="00495A62" w:rsidRDefault="00000000">
      <w:pPr>
        <w:spacing w:before="140" w:after="60"/>
        <w:ind w:left="720"/>
      </w:pPr>
      <w:r>
        <w:rPr>
          <w:b/>
          <w:bCs/>
          <w:color w:val="2E4057"/>
          <w:sz w:val="22"/>
          <w:szCs w:val="22"/>
        </w:rPr>
        <w:t>The Third-Party Beneficiary Structure</w:t>
      </w:r>
    </w:p>
    <w:p w14:paraId="41BFD4DC" w14:textId="77777777" w:rsidR="00495A62" w:rsidRDefault="00000000">
      <w:pPr>
        <w:spacing w:before="100" w:after="100" w:line="260" w:lineRule="auto"/>
        <w:ind w:left="720" w:right="360"/>
        <w:jc w:val="both"/>
      </w:pPr>
      <w:r>
        <w:rPr>
          <w:i/>
          <w:iCs/>
          <w:color w:val="333333"/>
          <w:sz w:val="22"/>
          <w:szCs w:val="22"/>
        </w:rPr>
        <w:t xml:space="preserve">The </w:t>
      </w:r>
      <w:proofErr w:type="gramStart"/>
      <w:r>
        <w:rPr>
          <w:i/>
          <w:iCs/>
          <w:color w:val="333333"/>
          <w:sz w:val="22"/>
          <w:szCs w:val="22"/>
        </w:rPr>
        <w:t>naming</w:t>
      </w:r>
      <w:proofErr w:type="gramEnd"/>
      <w:r>
        <w:rPr>
          <w:i/>
          <w:iCs/>
          <w:color w:val="333333"/>
          <w:sz w:val="22"/>
          <w:szCs w:val="22"/>
        </w:rPr>
        <w:t xml:space="preserve"> of the Procuring Government as an express third-party beneficiary in each flow-down clause is the mechanism that creates direct legal standing for the government against subcontractors without statutory privity extension. Under standard contract law, a named third-party beneficiary may enforce contract terms made for its benefit directly against the promisor, without requiring the </w:t>
      </w:r>
      <w:proofErr w:type="spellStart"/>
      <w:r>
        <w:rPr>
          <w:i/>
          <w:iCs/>
          <w:color w:val="333333"/>
          <w:sz w:val="22"/>
          <w:szCs w:val="22"/>
        </w:rPr>
        <w:t>promisee</w:t>
      </w:r>
      <w:proofErr w:type="spellEnd"/>
      <w:r>
        <w:rPr>
          <w:i/>
          <w:iCs/>
          <w:color w:val="333333"/>
          <w:sz w:val="22"/>
          <w:szCs w:val="22"/>
        </w:rPr>
        <w:t xml:space="preserve">, the prime contractor, to act. This structure gives the government a direct cause of action against a subcontractor for breach of the flow-down obligations without requiring the prime to bring suit first and without being dependent on the prime's financial capacity or willingness to pursue the claim. The three categories of direct obligation, data protection and security, material breach and gross negligence, and material misrepresentation, are calibrated to the specific harms that the absence of direct subcontractor accountability creates in PoC procurement. The material breach standard derives from contract law and the gross negligence standard from tort; both are expressed as contractual obligations in the flow-down clause, meaning the government's direct action arises in contract rather than in tort. This distinction matters for sovereign immunity, statute of limitations, and damages analysis under applicable state law. In states that have enacted false claims acts, the material misrepresentation category in subsection (e) may overlap with statutory false claims remedies, which are not displaced by the flow-down clause framework. Ordinary performance failures that do not rise to material breach or gross negligence remain the </w:t>
      </w:r>
      <w:proofErr w:type="gramStart"/>
      <w:r>
        <w:rPr>
          <w:i/>
          <w:iCs/>
          <w:color w:val="333333"/>
          <w:sz w:val="22"/>
          <w:szCs w:val="22"/>
        </w:rPr>
        <w:t>prime's</w:t>
      </w:r>
      <w:proofErr w:type="gramEnd"/>
      <w:r>
        <w:rPr>
          <w:i/>
          <w:iCs/>
          <w:color w:val="333333"/>
          <w:sz w:val="22"/>
          <w:szCs w:val="22"/>
        </w:rPr>
        <w:t xml:space="preserve"> contractual responsibility. Adopting states should confirm that their state contract law recognizes express third-party beneficiary rights consistent with Restatement (Second) of Contracts § 302 or an equivalent standard. A small number of states apply a narrower intent-to-benefit test that may require additional drafting specificity in the flow-down clause to ensure enforceability.</w:t>
      </w:r>
    </w:p>
    <w:p w14:paraId="7755DCCD" w14:textId="77777777" w:rsidR="00495A62" w:rsidRDefault="00000000">
      <w:pPr>
        <w:spacing w:before="140" w:after="60"/>
        <w:ind w:left="720"/>
      </w:pPr>
      <w:r>
        <w:rPr>
          <w:b/>
          <w:bCs/>
          <w:color w:val="2E4057"/>
          <w:sz w:val="22"/>
          <w:szCs w:val="22"/>
        </w:rPr>
        <w:t xml:space="preserve">The </w:t>
      </w:r>
      <w:proofErr w:type="spellStart"/>
      <w:r>
        <w:rPr>
          <w:b/>
          <w:bCs/>
          <w:color w:val="2E4057"/>
          <w:sz w:val="22"/>
          <w:szCs w:val="22"/>
        </w:rPr>
        <w:t>StateRAMP</w:t>
      </w:r>
      <w:proofErr w:type="spellEnd"/>
      <w:r>
        <w:rPr>
          <w:b/>
          <w:bCs/>
          <w:color w:val="2E4057"/>
          <w:sz w:val="22"/>
          <w:szCs w:val="22"/>
        </w:rPr>
        <w:t xml:space="preserve"> Analogy for Subcontractor Prequalification</w:t>
      </w:r>
    </w:p>
    <w:p w14:paraId="34049F5B" w14:textId="77777777" w:rsidR="00495A62" w:rsidRDefault="00000000">
      <w:pPr>
        <w:spacing w:before="100" w:after="100" w:line="260" w:lineRule="auto"/>
        <w:ind w:left="720" w:right="360"/>
        <w:jc w:val="both"/>
      </w:pPr>
      <w:r>
        <w:rPr>
          <w:i/>
          <w:iCs/>
          <w:color w:val="333333"/>
          <w:sz w:val="22"/>
          <w:szCs w:val="22"/>
        </w:rPr>
        <w:t xml:space="preserve">Subsection (g) authorizes but does not require subcontractor prequalification as a condition of prime contractor participation. The </w:t>
      </w:r>
      <w:proofErr w:type="spellStart"/>
      <w:r>
        <w:rPr>
          <w:i/>
          <w:iCs/>
          <w:color w:val="333333"/>
          <w:sz w:val="22"/>
          <w:szCs w:val="22"/>
        </w:rPr>
        <w:t>StateRAMP</w:t>
      </w:r>
      <w:proofErr w:type="spellEnd"/>
      <w:r>
        <w:rPr>
          <w:i/>
          <w:iCs/>
          <w:color w:val="333333"/>
          <w:sz w:val="22"/>
          <w:szCs w:val="22"/>
        </w:rPr>
        <w:t xml:space="preserve"> program, described in Part III, Section G of this working paper, provides the closest operational analogy: a standardized authorization framework for cloud service providers that allows governments to rely on third-party validated standards rather than conducting </w:t>
      </w:r>
      <w:r>
        <w:rPr>
          <w:i/>
          <w:iCs/>
          <w:color w:val="333333"/>
          <w:sz w:val="22"/>
          <w:szCs w:val="22"/>
        </w:rPr>
        <w:lastRenderedPageBreak/>
        <w:t xml:space="preserve">independent due diligence for each procurement. Adapting this model to PoC subcontractor prequalification, covering technical qualifications, security posture, data handling practices, and professional standards in defined specialized domains, would reduce the due diligence burden on Procuring Governments while raising the baseline standards for Core Technical Work across the market. Part VIII of this working paper recommends that NASPO, in coordination with </w:t>
      </w:r>
      <w:proofErr w:type="spellStart"/>
      <w:r>
        <w:rPr>
          <w:i/>
          <w:iCs/>
          <w:color w:val="333333"/>
          <w:sz w:val="22"/>
          <w:szCs w:val="22"/>
        </w:rPr>
        <w:t>StateRAMP</w:t>
      </w:r>
      <w:proofErr w:type="spellEnd"/>
      <w:r>
        <w:rPr>
          <w:i/>
          <w:iCs/>
          <w:color w:val="333333"/>
          <w:sz w:val="22"/>
          <w:szCs w:val="22"/>
        </w:rPr>
        <w:t xml:space="preserve"> and the Multi-State Information Sharing and Analysis Center, develop a PoC subcontractor </w:t>
      </w:r>
      <w:proofErr w:type="gramStart"/>
      <w:r>
        <w:rPr>
          <w:i/>
          <w:iCs/>
          <w:color w:val="333333"/>
          <w:sz w:val="22"/>
          <w:szCs w:val="22"/>
        </w:rPr>
        <w:t>prequalification</w:t>
      </w:r>
      <w:proofErr w:type="gramEnd"/>
      <w:r>
        <w:rPr>
          <w:i/>
          <w:iCs/>
          <w:color w:val="333333"/>
          <w:sz w:val="22"/>
          <w:szCs w:val="22"/>
        </w:rPr>
        <w:t xml:space="preserve"> framework for adoption as part of the Article 3B implementation toolkit.</w:t>
      </w:r>
    </w:p>
    <w:p w14:paraId="30623BB4"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3B-208. Independent Technical Monitor.</w:t>
      </w:r>
    </w:p>
    <w:p w14:paraId="43993378" w14:textId="77777777" w:rsidR="00495A62" w:rsidRDefault="00000000">
      <w:pPr>
        <w:spacing w:before="100" w:after="100" w:line="276" w:lineRule="auto"/>
        <w:ind w:left="720" w:right="360"/>
        <w:jc w:val="both"/>
      </w:pPr>
      <w:r>
        <w:t>(a) Designation Required. For any Phase 3 PoC Procurement involving Live System access or Citizen Data, the Procuring Government shall, before authorizing Phase 3, designate or procure an Independent Technical Monitor with demonstrated expertise in the technical domain of the PoC Procurement.</w:t>
      </w:r>
    </w:p>
    <w:p w14:paraId="67585C95" w14:textId="77777777" w:rsidR="00495A62" w:rsidRDefault="00000000">
      <w:pPr>
        <w:spacing w:before="100" w:after="100" w:line="276" w:lineRule="auto"/>
        <w:ind w:left="720" w:right="360"/>
        <w:jc w:val="both"/>
      </w:pPr>
      <w:r>
        <w:t>(b) Qualifications. The Independent Technical Monitor shall be:</w:t>
      </w:r>
    </w:p>
    <w:p w14:paraId="43E49FBD" w14:textId="77777777" w:rsidR="00495A62" w:rsidRDefault="00000000">
      <w:pPr>
        <w:spacing w:before="80" w:after="80" w:line="276" w:lineRule="auto"/>
        <w:ind w:left="1080" w:right="360"/>
        <w:jc w:val="both"/>
      </w:pPr>
      <w:r>
        <w:t xml:space="preserve">(1) independent of the prime contractor and all subcontractors performing work under the PoC </w:t>
      </w:r>
      <w:proofErr w:type="gramStart"/>
      <w:r>
        <w:t>Procurement;</w:t>
      </w:r>
      <w:proofErr w:type="gramEnd"/>
    </w:p>
    <w:p w14:paraId="34D0E6CF" w14:textId="77777777" w:rsidR="00495A62" w:rsidRDefault="00000000">
      <w:pPr>
        <w:spacing w:before="80" w:after="80" w:line="276" w:lineRule="auto"/>
        <w:ind w:left="1080" w:right="360"/>
        <w:jc w:val="both"/>
      </w:pPr>
      <w:r>
        <w:t>(2) free of any financial interest in the outcome of the Phase 3 work or the subsequent production procurement; and</w:t>
      </w:r>
    </w:p>
    <w:p w14:paraId="4D33622C" w14:textId="77777777" w:rsidR="00495A62" w:rsidRDefault="00000000">
      <w:pPr>
        <w:spacing w:before="80" w:after="80" w:line="276" w:lineRule="auto"/>
        <w:ind w:left="1080" w:right="360"/>
        <w:jc w:val="both"/>
      </w:pPr>
      <w:r>
        <w:t xml:space="preserve">(3) </w:t>
      </w:r>
      <w:proofErr w:type="gramStart"/>
      <w:r>
        <w:t>possessed of demonstrated</w:t>
      </w:r>
      <w:proofErr w:type="gramEnd"/>
      <w:r>
        <w:t xml:space="preserve"> technical expertise, documented in the procurement file, in the specific technical domain or domains addressed by the Phase 3 PoC work.</w:t>
      </w:r>
    </w:p>
    <w:p w14:paraId="474A1D0F" w14:textId="77777777" w:rsidR="00495A62" w:rsidRDefault="00000000">
      <w:pPr>
        <w:spacing w:before="100" w:after="100" w:line="276" w:lineRule="auto"/>
        <w:ind w:left="720" w:right="360"/>
        <w:jc w:val="both"/>
      </w:pPr>
      <w:r>
        <w:t>(c) Role and Authority. The Independent Technical Monitor's role is advisory and reportorial to the Procuring Government. The Monitor has no supervisory authority over the prime contractor, subcontractors, or vendor personnel. The Monitor's functions include:</w:t>
      </w:r>
    </w:p>
    <w:p w14:paraId="01499195" w14:textId="77777777" w:rsidR="00495A62" w:rsidRDefault="00000000">
      <w:pPr>
        <w:spacing w:before="80" w:after="80" w:line="276" w:lineRule="auto"/>
        <w:ind w:left="1080" w:right="360"/>
        <w:jc w:val="both"/>
      </w:pPr>
      <w:r>
        <w:t xml:space="preserve">(1) reviewing vendor Phase 3 deliverables and providing a written technical assessment of each deliverable's compliance with the pre-published Phase 3 acceptance </w:t>
      </w:r>
      <w:proofErr w:type="gramStart"/>
      <w:r>
        <w:t>criteria;</w:t>
      </w:r>
      <w:proofErr w:type="gramEnd"/>
    </w:p>
    <w:p w14:paraId="7E62BF64" w14:textId="77777777" w:rsidR="00495A62" w:rsidRDefault="00000000">
      <w:pPr>
        <w:spacing w:before="80" w:after="80" w:line="276" w:lineRule="auto"/>
        <w:ind w:left="1080" w:right="360"/>
        <w:jc w:val="both"/>
      </w:pPr>
      <w:r>
        <w:t>(2) advising the Procurement Officer on any technical issues affecting the Phase Gate Review under Section 3B-203(e</w:t>
      </w:r>
      <w:proofErr w:type="gramStart"/>
      <w:r>
        <w:t>);</w:t>
      </w:r>
      <w:proofErr w:type="gramEnd"/>
    </w:p>
    <w:p w14:paraId="2D555D5C" w14:textId="77777777" w:rsidR="00495A62" w:rsidRDefault="00000000">
      <w:pPr>
        <w:spacing w:before="80" w:after="80" w:line="276" w:lineRule="auto"/>
        <w:ind w:left="1080" w:right="360"/>
        <w:jc w:val="both"/>
      </w:pPr>
      <w:r>
        <w:t>(3) reviewing and providing a written assessment of any security incidents, data handling concerns, or service continuity issues identified during Phase 3; and</w:t>
      </w:r>
    </w:p>
    <w:p w14:paraId="3EEB655E" w14:textId="77777777" w:rsidR="00495A62" w:rsidRDefault="00000000">
      <w:pPr>
        <w:spacing w:before="80" w:after="80" w:line="276" w:lineRule="auto"/>
        <w:ind w:left="1080" w:right="360"/>
        <w:jc w:val="both"/>
      </w:pPr>
      <w:r>
        <w:t>(4) preparing a written summary assessment for inclusion in the post-PoC report required by Section 3B-308(e).</w:t>
      </w:r>
    </w:p>
    <w:p w14:paraId="679CA3E8" w14:textId="77777777" w:rsidR="00495A62" w:rsidRDefault="00000000">
      <w:pPr>
        <w:spacing w:before="100" w:after="100" w:line="276" w:lineRule="auto"/>
        <w:ind w:left="720" w:right="360"/>
        <w:jc w:val="both"/>
      </w:pPr>
      <w:r>
        <w:t xml:space="preserve">(d) Monitor's Assessments in the Record. All written assessments prepared by the Independent Technical Monitor shall be included in the procurement file </w:t>
      </w:r>
      <w:r>
        <w:lastRenderedPageBreak/>
        <w:t>and shall be considered by the Procurement Officer in making Phase Gate Review decisions and MVP acceptance determinations.</w:t>
      </w:r>
    </w:p>
    <w:p w14:paraId="7F48F689" w14:textId="77777777" w:rsidR="00495A62" w:rsidRDefault="00000000">
      <w:pPr>
        <w:spacing w:before="200" w:after="80"/>
        <w:ind w:left="720"/>
      </w:pPr>
      <w:r>
        <w:rPr>
          <w:b/>
          <w:bCs/>
          <w:caps/>
          <w:color w:val="2E4057"/>
          <w:sz w:val="22"/>
          <w:szCs w:val="22"/>
        </w:rPr>
        <w:t>OFFICIAL COMMENT</w:t>
      </w:r>
    </w:p>
    <w:p w14:paraId="2D26DE41" w14:textId="77777777" w:rsidR="00495A62" w:rsidRDefault="00000000">
      <w:pPr>
        <w:spacing w:before="140" w:after="60"/>
        <w:ind w:left="720"/>
      </w:pPr>
      <w:r>
        <w:rPr>
          <w:b/>
          <w:bCs/>
          <w:color w:val="2E4057"/>
          <w:sz w:val="22"/>
          <w:szCs w:val="22"/>
        </w:rPr>
        <w:t>Purpose and Design</w:t>
      </w:r>
    </w:p>
    <w:p w14:paraId="47294073" w14:textId="77777777" w:rsidR="00495A62" w:rsidRDefault="00000000">
      <w:pPr>
        <w:spacing w:before="100" w:after="100" w:line="260" w:lineRule="auto"/>
        <w:ind w:left="720" w:right="360"/>
        <w:jc w:val="both"/>
      </w:pPr>
      <w:r>
        <w:rPr>
          <w:i/>
          <w:iCs/>
          <w:color w:val="333333"/>
          <w:sz w:val="22"/>
          <w:szCs w:val="22"/>
        </w:rPr>
        <w:t xml:space="preserve">Section 3B-208 addresses the government's technical capacity deficit in PoC Procurement for Genuinely Novel technologies. The Procuring Government contracted with a prime precisely because it lacked the technical expertise to manage the work directly. Without an independent source of technical perspective, the government's Phase Gate Review and MVP acceptance decisions are dependent on the prime's own reporting, creating an information asymmetry that favors the prime and disadvantages the government. The Independent Technical Monitor provides the government with expert technical input that does not flow through the </w:t>
      </w:r>
      <w:proofErr w:type="gramStart"/>
      <w:r>
        <w:rPr>
          <w:i/>
          <w:iCs/>
          <w:color w:val="333333"/>
          <w:sz w:val="22"/>
          <w:szCs w:val="22"/>
        </w:rPr>
        <w:t>prime's</w:t>
      </w:r>
      <w:proofErr w:type="gramEnd"/>
      <w:r>
        <w:rPr>
          <w:i/>
          <w:iCs/>
          <w:color w:val="333333"/>
          <w:sz w:val="22"/>
          <w:szCs w:val="22"/>
        </w:rPr>
        <w:t xml:space="preserve"> reporting chain. The monitor is not a contract administrator, a quality assurance officer, or a supervisor; its role is purely to ensure that the government has an independent technical perspective when making the decisions that determine the outcome of the PoC Procurement and the transition to production.</w:t>
      </w:r>
    </w:p>
    <w:p w14:paraId="149A57A4" w14:textId="77777777" w:rsidR="00495A62" w:rsidRDefault="00000000">
      <w:pPr>
        <w:spacing w:before="140" w:after="60"/>
        <w:ind w:left="720"/>
      </w:pPr>
      <w:r>
        <w:rPr>
          <w:b/>
          <w:bCs/>
          <w:color w:val="2E4057"/>
          <w:sz w:val="22"/>
          <w:szCs w:val="22"/>
        </w:rPr>
        <w:t>Problems Precluded</w:t>
      </w:r>
    </w:p>
    <w:p w14:paraId="0020FC95" w14:textId="77777777" w:rsidR="00495A62" w:rsidRDefault="00000000">
      <w:pPr>
        <w:spacing w:before="100" w:after="100" w:line="260" w:lineRule="auto"/>
        <w:ind w:left="720" w:right="360"/>
        <w:jc w:val="both"/>
      </w:pPr>
      <w:r>
        <w:rPr>
          <w:i/>
          <w:iCs/>
          <w:color w:val="333333"/>
          <w:sz w:val="22"/>
          <w:szCs w:val="22"/>
        </w:rPr>
        <w:t>The Independent Technical Monitor requirement precludes the scenario documented repeatedly in federal technology procurement after-action reviews: the government accepts deliverables that fail to meet acceptance criteria because the contracting officer lacks the technical expertise to evaluate them and relies entirely on the vendor's self-assessment. DHS PIL research documented that contracting officers with access to independent technical input during complex procurements were significantly less likely to experience late-stage performance failures requiring costly contract restructuring. By requiring Monitor involvement at Phase 3 Gate Reviews and MVP acceptance, Section 3B-208 creates a check on the information asymmetry that is structurally inherent in novel technology procurement without imposing the organizational complexity of a full government technical staff.</w:t>
      </w:r>
    </w:p>
    <w:p w14:paraId="0C8696FB"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3B-308. Safeguards, Value Limitations, Transparency, and Reporting.</w:t>
      </w:r>
    </w:p>
    <w:p w14:paraId="225ACD2A" w14:textId="77777777" w:rsidR="00495A62" w:rsidRDefault="00000000">
      <w:pPr>
        <w:spacing w:before="100" w:after="100" w:line="276" w:lineRule="auto"/>
        <w:ind w:left="720" w:right="360"/>
        <w:jc w:val="both"/>
      </w:pPr>
      <w:r>
        <w:t>(a) Value Limitation. The total value of all PoC Procurement contracts awarded to all vendors across all phases shall not exceed ten percent of the Procuring Government's good-faith estimate of the total value of the anticipated production procurement for the same functional need, or five million dollars, whichever is less. The Procurement Officer may seek a waiver of this limitation from the Chief Procurement Officer upon a written finding that the functional need is of sufficient complexity or scale that the standard limitation would preclude meaningful Phase 3 MVP validation.</w:t>
      </w:r>
    </w:p>
    <w:p w14:paraId="107D8C08" w14:textId="77777777" w:rsidR="00495A62" w:rsidRDefault="00000000">
      <w:pPr>
        <w:spacing w:before="100" w:after="100" w:line="276" w:lineRule="auto"/>
        <w:ind w:left="720" w:right="360"/>
        <w:jc w:val="both"/>
      </w:pPr>
      <w:r>
        <w:t>(b) Public Notices. The Procuring Government shall publish public notices:</w:t>
      </w:r>
    </w:p>
    <w:p w14:paraId="3B71D9F3" w14:textId="77777777" w:rsidR="00495A62" w:rsidRDefault="00000000">
      <w:pPr>
        <w:spacing w:before="80" w:after="80" w:line="276" w:lineRule="auto"/>
        <w:ind w:left="1080" w:right="360"/>
        <w:jc w:val="both"/>
      </w:pPr>
      <w:r>
        <w:t xml:space="preserve">(1) upon authorization of the PoC Procurement under Section 3B-101(e), not fewer than fourteen days before issuance of the Phase 1 </w:t>
      </w:r>
      <w:proofErr w:type="gramStart"/>
      <w:r>
        <w:t>solicitation;</w:t>
      </w:r>
      <w:proofErr w:type="gramEnd"/>
    </w:p>
    <w:p w14:paraId="19C3029A" w14:textId="77777777" w:rsidR="00495A62" w:rsidRDefault="00000000">
      <w:pPr>
        <w:spacing w:before="80" w:after="80" w:line="276" w:lineRule="auto"/>
        <w:ind w:left="1080" w:right="360"/>
        <w:jc w:val="both"/>
      </w:pPr>
      <w:r>
        <w:lastRenderedPageBreak/>
        <w:t xml:space="preserve">(2) upon completion of each Phase Gate Review, within seven days, including a summary of the </w:t>
      </w:r>
      <w:proofErr w:type="spellStart"/>
      <w:r>
        <w:t>downselect</w:t>
      </w:r>
      <w:proofErr w:type="spellEnd"/>
      <w:r>
        <w:t xml:space="preserve"> decision and the number of vendors proceeding to the next phase; and</w:t>
      </w:r>
    </w:p>
    <w:p w14:paraId="69479C78" w14:textId="77777777" w:rsidR="00495A62" w:rsidRDefault="00000000">
      <w:pPr>
        <w:spacing w:before="80" w:after="80" w:line="276" w:lineRule="auto"/>
        <w:ind w:left="1080" w:right="360"/>
        <w:jc w:val="both"/>
      </w:pPr>
      <w:r>
        <w:t>(3) upon MVP acceptance or termination of the PoC Procurement, within fourteen days.</w:t>
      </w:r>
    </w:p>
    <w:p w14:paraId="7B4A8F37" w14:textId="77777777" w:rsidR="00495A62" w:rsidRDefault="00000000">
      <w:pPr>
        <w:spacing w:before="100" w:after="100" w:line="276" w:lineRule="auto"/>
        <w:ind w:left="720" w:right="360"/>
        <w:jc w:val="both"/>
      </w:pPr>
      <w:r>
        <w:t>(c) Protest Rights. Vendors participating in a PoC Procurement retain protest rights under Article 9 of this Code. For purposes of PoC Procurement protests:</w:t>
      </w:r>
    </w:p>
    <w:p w14:paraId="76653932" w14:textId="77777777" w:rsidR="00495A62" w:rsidRDefault="00000000">
      <w:pPr>
        <w:spacing w:before="80" w:after="80" w:line="276" w:lineRule="auto"/>
        <w:ind w:left="1080" w:right="360"/>
        <w:jc w:val="both"/>
      </w:pPr>
      <w:r>
        <w:t xml:space="preserve">(1) protests regarding the Phase 1 solicitation specifications or authorization findings shall be filed within ten days of solicitation </w:t>
      </w:r>
      <w:proofErr w:type="gramStart"/>
      <w:r>
        <w:t>issuance;</w:t>
      </w:r>
      <w:proofErr w:type="gramEnd"/>
    </w:p>
    <w:p w14:paraId="24503C0F" w14:textId="77777777" w:rsidR="00495A62" w:rsidRDefault="00000000">
      <w:pPr>
        <w:spacing w:before="80" w:after="80" w:line="276" w:lineRule="auto"/>
        <w:ind w:left="1080" w:right="360"/>
        <w:jc w:val="both"/>
      </w:pPr>
      <w:r>
        <w:t xml:space="preserve">(2) protests regarding Phase Gate Review </w:t>
      </w:r>
      <w:proofErr w:type="spellStart"/>
      <w:r>
        <w:t>downselect</w:t>
      </w:r>
      <w:proofErr w:type="spellEnd"/>
      <w:r>
        <w:t xml:space="preserve"> decisions shall be filed within ten days of the public notice required by subsection (b)(2); and</w:t>
      </w:r>
    </w:p>
    <w:p w14:paraId="351CDFE5" w14:textId="77777777" w:rsidR="00495A62" w:rsidRDefault="00000000">
      <w:pPr>
        <w:spacing w:before="80" w:after="80" w:line="276" w:lineRule="auto"/>
        <w:ind w:left="1080" w:right="360"/>
        <w:jc w:val="both"/>
      </w:pPr>
      <w:r>
        <w:t xml:space="preserve">(3) the Phase Gate Review Record prepared under Section 3B-203(e)(3) shall constitute the government's written rationale for the </w:t>
      </w:r>
      <w:proofErr w:type="spellStart"/>
      <w:r>
        <w:t>downselect</w:t>
      </w:r>
      <w:proofErr w:type="spellEnd"/>
      <w:r>
        <w:t xml:space="preserve"> decision for purposes of protest adjudication.</w:t>
      </w:r>
    </w:p>
    <w:p w14:paraId="2FC622DE" w14:textId="77777777" w:rsidR="00495A62" w:rsidRDefault="00000000">
      <w:pPr>
        <w:spacing w:before="100" w:after="100" w:line="276" w:lineRule="auto"/>
        <w:ind w:left="720" w:right="360"/>
        <w:jc w:val="both"/>
      </w:pPr>
      <w:r>
        <w:t>(d) Annual Audit. Each Procuring Government that conducts PoC Procurements under this Article shall include a summary of all such procurements in its annual procurement report, identifying for each: the functional need addressed; the total expenditure across all phases; the number of vendors at each phase; the outcome of the PoC; and whether a production procurement has been initiated.</w:t>
      </w:r>
    </w:p>
    <w:p w14:paraId="5F346DD9" w14:textId="77777777" w:rsidR="00495A62" w:rsidRDefault="00000000">
      <w:pPr>
        <w:spacing w:before="100" w:after="100" w:line="276" w:lineRule="auto"/>
        <w:ind w:left="720" w:right="360"/>
        <w:jc w:val="both"/>
      </w:pPr>
      <w:r>
        <w:t>(e) Post-PoC Report. Within ninety days of MVP acceptance or PoC termination, the Procurement Officer shall prepare and make publicly available a Post-PoC Report documenting:</w:t>
      </w:r>
    </w:p>
    <w:p w14:paraId="7966F771" w14:textId="77777777" w:rsidR="00495A62" w:rsidRDefault="00000000">
      <w:pPr>
        <w:spacing w:before="80" w:after="80" w:line="276" w:lineRule="auto"/>
        <w:ind w:left="1080" w:right="360"/>
        <w:jc w:val="both"/>
      </w:pPr>
      <w:r>
        <w:t xml:space="preserve">(1) the functional need addressed and the outcome-based specifications </w:t>
      </w:r>
      <w:proofErr w:type="gramStart"/>
      <w:r>
        <w:t>used;</w:t>
      </w:r>
      <w:proofErr w:type="gramEnd"/>
    </w:p>
    <w:p w14:paraId="7E2FB38A" w14:textId="77777777" w:rsidR="00495A62" w:rsidRDefault="00000000">
      <w:pPr>
        <w:spacing w:before="80" w:after="80" w:line="276" w:lineRule="auto"/>
        <w:ind w:left="1080" w:right="360"/>
        <w:jc w:val="both"/>
      </w:pPr>
      <w:r>
        <w:t xml:space="preserve">(2) the market consultation process and the alternative approaches </w:t>
      </w:r>
      <w:proofErr w:type="gramStart"/>
      <w:r>
        <w:t>identified;</w:t>
      </w:r>
      <w:proofErr w:type="gramEnd"/>
    </w:p>
    <w:p w14:paraId="0707C154" w14:textId="77777777" w:rsidR="00495A62" w:rsidRDefault="00000000">
      <w:pPr>
        <w:spacing w:before="80" w:after="80" w:line="276" w:lineRule="auto"/>
        <w:ind w:left="1080" w:right="360"/>
        <w:jc w:val="both"/>
      </w:pPr>
      <w:r>
        <w:t xml:space="preserve">(3) the vendor performance at each phase and the rationale for each </w:t>
      </w:r>
      <w:proofErr w:type="spellStart"/>
      <w:r>
        <w:t>downselect</w:t>
      </w:r>
      <w:proofErr w:type="spellEnd"/>
      <w:r>
        <w:t xml:space="preserve"> </w:t>
      </w:r>
      <w:proofErr w:type="gramStart"/>
      <w:r>
        <w:t>decision;</w:t>
      </w:r>
      <w:proofErr w:type="gramEnd"/>
    </w:p>
    <w:p w14:paraId="4F90614C" w14:textId="77777777" w:rsidR="00495A62" w:rsidRDefault="00000000">
      <w:pPr>
        <w:spacing w:before="80" w:after="80" w:line="276" w:lineRule="auto"/>
        <w:ind w:left="1080" w:right="360"/>
        <w:jc w:val="both"/>
      </w:pPr>
      <w:r>
        <w:t xml:space="preserve">(4) the results of the MVP validation or, in the event of termination, the reasons for termination and the lessons </w:t>
      </w:r>
      <w:proofErr w:type="gramStart"/>
      <w:r>
        <w:t>learned;</w:t>
      </w:r>
      <w:proofErr w:type="gramEnd"/>
    </w:p>
    <w:p w14:paraId="70F179C5" w14:textId="77777777" w:rsidR="00495A62" w:rsidRDefault="00000000">
      <w:pPr>
        <w:spacing w:before="80" w:after="80" w:line="276" w:lineRule="auto"/>
        <w:ind w:left="1080" w:right="360"/>
        <w:jc w:val="both"/>
      </w:pPr>
      <w:r>
        <w:t>(5) the Independent Technical Monitor's summary assessment, where applicable; and</w:t>
      </w:r>
    </w:p>
    <w:p w14:paraId="7AD9809C" w14:textId="77777777" w:rsidR="00495A62" w:rsidRDefault="00000000">
      <w:pPr>
        <w:spacing w:before="80" w:after="80" w:line="276" w:lineRule="auto"/>
        <w:ind w:left="1080" w:right="360"/>
        <w:jc w:val="both"/>
      </w:pPr>
      <w:r>
        <w:t>(6) any significant issues encountered with subcontractor performance, data protection, security, or service continuity during the PoC Procurement.</w:t>
      </w:r>
    </w:p>
    <w:p w14:paraId="0527DF3B" w14:textId="77777777" w:rsidR="00495A62" w:rsidRDefault="00000000">
      <w:pPr>
        <w:spacing w:before="200" w:after="80"/>
        <w:ind w:left="720"/>
      </w:pPr>
      <w:r>
        <w:rPr>
          <w:b/>
          <w:bCs/>
          <w:caps/>
          <w:color w:val="2E4057"/>
          <w:sz w:val="22"/>
          <w:szCs w:val="22"/>
        </w:rPr>
        <w:t>OFFICIAL COMMENT</w:t>
      </w:r>
    </w:p>
    <w:p w14:paraId="65AB85F7" w14:textId="77777777" w:rsidR="00495A62" w:rsidRDefault="00000000">
      <w:pPr>
        <w:spacing w:before="140" w:after="60"/>
        <w:ind w:left="720"/>
      </w:pPr>
      <w:r>
        <w:rPr>
          <w:b/>
          <w:bCs/>
          <w:color w:val="2E4057"/>
          <w:sz w:val="22"/>
          <w:szCs w:val="22"/>
        </w:rPr>
        <w:lastRenderedPageBreak/>
        <w:t>Purpose and Design</w:t>
      </w:r>
    </w:p>
    <w:p w14:paraId="003F4307" w14:textId="77777777" w:rsidR="00495A62" w:rsidRDefault="00000000">
      <w:pPr>
        <w:spacing w:before="100" w:after="100" w:line="260" w:lineRule="auto"/>
        <w:ind w:left="720" w:right="360"/>
        <w:jc w:val="both"/>
      </w:pPr>
      <w:r>
        <w:rPr>
          <w:i/>
          <w:iCs/>
          <w:color w:val="333333"/>
          <w:sz w:val="22"/>
          <w:szCs w:val="22"/>
        </w:rPr>
        <w:t>Section 3B-308 provides the accountability architecture that makes Article 3B politically and legally sustainable over time. The value limitation, protest rights framework, public notice requirements, annual audit, and post-PoC reporting requirement together ensure that PoC Procurement is a transparent, accountable, and self-correcting process, not an administrative workaround that grows beyond its intended scope. Maryland's experience under COMAR 21.05.16, which has operated with a dollar cap and legislative reporting requirement since enactment with no successful protests overturning an authorization decision, provides empirical validation that bright-line safeguards are more effective than vague accountability standards for non-standard procurement procedures.</w:t>
      </w:r>
    </w:p>
    <w:p w14:paraId="15FB2568" w14:textId="77777777" w:rsidR="00495A62" w:rsidRDefault="00000000">
      <w:pPr>
        <w:spacing w:before="140" w:after="60"/>
        <w:ind w:left="720"/>
      </w:pPr>
      <w:r>
        <w:rPr>
          <w:b/>
          <w:bCs/>
          <w:color w:val="2E4057"/>
          <w:sz w:val="22"/>
          <w:szCs w:val="22"/>
        </w:rPr>
        <w:t>The Value Limitation</w:t>
      </w:r>
    </w:p>
    <w:p w14:paraId="5ED6D3A8" w14:textId="77777777" w:rsidR="00495A62" w:rsidRDefault="00000000">
      <w:pPr>
        <w:spacing w:before="100" w:after="100" w:line="260" w:lineRule="auto"/>
        <w:ind w:left="720" w:right="360"/>
        <w:jc w:val="both"/>
      </w:pPr>
      <w:r>
        <w:rPr>
          <w:i/>
          <w:iCs/>
          <w:color w:val="333333"/>
          <w:sz w:val="22"/>
          <w:szCs w:val="22"/>
        </w:rPr>
        <w:t xml:space="preserve">The ten percent cap with a </w:t>
      </w:r>
      <w:proofErr w:type="gramStart"/>
      <w:r>
        <w:rPr>
          <w:i/>
          <w:iCs/>
          <w:color w:val="333333"/>
          <w:sz w:val="22"/>
          <w:szCs w:val="22"/>
        </w:rPr>
        <w:t>five million dollar</w:t>
      </w:r>
      <w:proofErr w:type="gramEnd"/>
      <w:r>
        <w:rPr>
          <w:i/>
          <w:iCs/>
          <w:color w:val="333333"/>
          <w:sz w:val="22"/>
          <w:szCs w:val="22"/>
        </w:rPr>
        <w:t xml:space="preserve"> ceiling implements the principle that PoC Procurement is genuinely exploratory, not a vehicle for conducting a significant portion of a production procurement under less competitive conditions. The cap is calculated against the anticipated production value rather than an absolute dollar figure, ensuring that it scales appropriately with the size of the underlying need while maintaining a meaningful constraint on the proportion of total procurement value that bypasses full competition. The waiver provision acknowledges that some Genuinely Novel procurements involve functional needs of sufficient scale that ten percent of production value, or five million dollars, is genuinely insufficient for meaningful Phase 3 MVP validation. The waiver requires Chief Procurement Officer involvement, ensuring that exceptions to the standard limitation receive appropriate senior review.</w:t>
      </w:r>
    </w:p>
    <w:p w14:paraId="7282CA2C" w14:textId="77777777" w:rsidR="00495A62" w:rsidRDefault="00000000">
      <w:pPr>
        <w:spacing w:before="140" w:after="60"/>
        <w:ind w:left="720"/>
      </w:pPr>
      <w:r>
        <w:rPr>
          <w:b/>
          <w:bCs/>
          <w:color w:val="2E4057"/>
          <w:sz w:val="22"/>
          <w:szCs w:val="22"/>
        </w:rPr>
        <w:t>The Post-PoC Report as Institutional Learning</w:t>
      </w:r>
    </w:p>
    <w:p w14:paraId="1E92ECDA" w14:textId="77777777" w:rsidR="00495A62" w:rsidRDefault="00000000">
      <w:pPr>
        <w:spacing w:before="100" w:after="100" w:line="260" w:lineRule="auto"/>
        <w:ind w:left="720" w:right="360"/>
        <w:jc w:val="both"/>
      </w:pPr>
      <w:r>
        <w:rPr>
          <w:i/>
          <w:iCs/>
          <w:color w:val="333333"/>
          <w:sz w:val="22"/>
          <w:szCs w:val="22"/>
        </w:rPr>
        <w:t xml:space="preserve">Subsection (e) requires more than an accountability document: it is designed to create the institutional learning record that the PoC framework is intended to generate and that conventional procurement produces almost never. Government procurement consistently fails to capture and transmit the lessons learned from procurement experiences, successful and unsuccessful alike, across agencies and across procurement cycles. The mandatory Post-PoC Report, made publicly available within ninety days, creates a searchable, accessible record of what the government explored, what it learned, what worked, and what did not. Over time, the accumulation of these records creates </w:t>
      </w:r>
      <w:proofErr w:type="gramStart"/>
      <w:r>
        <w:rPr>
          <w:i/>
          <w:iCs/>
          <w:color w:val="333333"/>
          <w:sz w:val="22"/>
          <w:szCs w:val="22"/>
        </w:rPr>
        <w:t>the</w:t>
      </w:r>
      <w:proofErr w:type="gramEnd"/>
      <w:r>
        <w:rPr>
          <w:i/>
          <w:iCs/>
          <w:color w:val="333333"/>
          <w:sz w:val="22"/>
          <w:szCs w:val="22"/>
        </w:rPr>
        <w:t xml:space="preserve"> institutional knowledge base that reduces the cost and risk of future PoC Procurements in related domains. The requirement to document significant subcontractor performance issues, in addition to overall procurement outcomes, creates a specific accountability mechanism for the flow-down clause framework of Section 3B-207 and provides the empirical foundation for the subcontractor prequalification framework recommended in Part VIII.</w:t>
      </w:r>
    </w:p>
    <w:p w14:paraId="05952C35" w14:textId="77777777" w:rsidR="00495A62" w:rsidRDefault="00000000">
      <w:pPr>
        <w:pBdr>
          <w:top w:val="single" w:sz="4" w:space="2" w:color="AAAAAA"/>
          <w:left w:val="single" w:sz="12" w:space="4" w:color="2E4057"/>
          <w:bottom w:val="single" w:sz="4" w:space="2" w:color="AAAAAA"/>
        </w:pBdr>
        <w:spacing w:before="360" w:after="120"/>
        <w:ind w:left="360"/>
      </w:pPr>
      <w:r>
        <w:rPr>
          <w:b/>
          <w:bCs/>
          <w:color w:val="2E4057"/>
          <w:sz w:val="26"/>
          <w:szCs w:val="26"/>
        </w:rPr>
        <w:t>§ 3B-309. Transition to Production Procurement.</w:t>
      </w:r>
    </w:p>
    <w:p w14:paraId="46CDABE5" w14:textId="77777777" w:rsidR="00495A62" w:rsidRDefault="00000000">
      <w:pPr>
        <w:spacing w:before="100" w:after="100" w:line="276" w:lineRule="auto"/>
        <w:ind w:left="720" w:right="360"/>
        <w:jc w:val="both"/>
      </w:pPr>
      <w:r>
        <w:t xml:space="preserve">(a) Production Procurement Required. Deployment of a solution at operational scale following a successful PoC Procurement shall be conducted through a separate production procurement using a source selection method authorized </w:t>
      </w:r>
      <w:r>
        <w:lastRenderedPageBreak/>
        <w:t>by Article 3 of this Code, unless the conditions of subsection (b) are satisfied. The MVP produced under Section 3B-203(d)(4) shall serve as the functional baseline for the production procurement specifications.</w:t>
      </w:r>
    </w:p>
    <w:p w14:paraId="5B484456" w14:textId="77777777" w:rsidR="00495A62" w:rsidRDefault="00000000">
      <w:pPr>
        <w:spacing w:before="100" w:after="100" w:line="276" w:lineRule="auto"/>
        <w:ind w:left="720" w:right="360"/>
        <w:jc w:val="both"/>
      </w:pPr>
      <w:r>
        <w:t>(b) Right of First Negotiation. This subsection provides the recommended mechanism for production procurement transition and is the default framework absent a contrary written determination by the Procurement Officer documented under subsection (c).</w:t>
      </w:r>
    </w:p>
    <w:p w14:paraId="7E727067" w14:textId="77777777" w:rsidR="00495A62" w:rsidRDefault="00000000">
      <w:pPr>
        <w:spacing w:before="80" w:after="80" w:line="276" w:lineRule="auto"/>
        <w:ind w:left="1080" w:right="360"/>
        <w:jc w:val="both"/>
      </w:pPr>
      <w:r>
        <w:t>(1) Each vendor whose Phase 3 PoC Artifact achieves MVP acceptance under Section 3B-203(d)(4) shall have a Right of First Negotiation for the production procurement, under which the Procuring Government shall negotiate in good faith with that vendor for a period of not fewer than sixty days before issuing a production procurement solicitation.</w:t>
      </w:r>
    </w:p>
    <w:p w14:paraId="074F2578" w14:textId="77777777" w:rsidR="00495A62" w:rsidRDefault="00000000">
      <w:pPr>
        <w:spacing w:before="80" w:after="80" w:line="276" w:lineRule="auto"/>
        <w:ind w:left="1080" w:right="360"/>
        <w:jc w:val="both"/>
      </w:pPr>
      <w:r>
        <w:t xml:space="preserve">(2) The Right of First Negotiation does not guarantee award. If the Procuring Government and the vendor are unable to reach agreement on terms within the negotiation period, the Procuring Government shall proceed to a </w:t>
      </w:r>
      <w:proofErr w:type="gramStart"/>
      <w:r>
        <w:t>full</w:t>
      </w:r>
      <w:proofErr w:type="gramEnd"/>
      <w:r>
        <w:t xml:space="preserve"> competitive production procurement. The Procuring Government's determination that negotiations have failed shall be documented in writing.</w:t>
      </w:r>
    </w:p>
    <w:p w14:paraId="025D1E6D" w14:textId="77777777" w:rsidR="00495A62" w:rsidRDefault="00000000">
      <w:pPr>
        <w:spacing w:before="80" w:after="80" w:line="276" w:lineRule="auto"/>
        <w:ind w:left="1080" w:right="360"/>
        <w:jc w:val="both"/>
      </w:pPr>
      <w:r>
        <w:t>(3) Where more than one vendor has achieved MVP acceptance, the Procuring Government shall conduct sequential right-of-first-negotiation discussions with each such vendor, beginning with the vendor whose Phase 3 deliverable received the highest evaluation score under the pre-published Phase 3 acceptance criteria, before proceeding to competitive procurement.</w:t>
      </w:r>
    </w:p>
    <w:p w14:paraId="4964E70E" w14:textId="77777777" w:rsidR="00495A62" w:rsidRDefault="00000000">
      <w:pPr>
        <w:spacing w:before="80" w:after="80" w:line="276" w:lineRule="auto"/>
        <w:ind w:left="1080" w:right="360"/>
        <w:jc w:val="both"/>
      </w:pPr>
      <w:r>
        <w:t>(4) A vendor's participation in the right-of-first-negotiation process does not preclude that vendor from participating in a subsequent competitive production procurement if negotiations fail.</w:t>
      </w:r>
    </w:p>
    <w:p w14:paraId="3F00EB6A" w14:textId="77777777" w:rsidR="00495A62" w:rsidRDefault="00000000">
      <w:pPr>
        <w:spacing w:before="100" w:after="100" w:line="276" w:lineRule="auto"/>
        <w:ind w:left="720" w:right="360"/>
        <w:jc w:val="both"/>
      </w:pPr>
      <w:r>
        <w:t>(c) Alternative Transition Mechanisms. A Procuring Government may substitute an alternative transition mechanism for the Right of First Negotiation default by documenting in the procurement file, before Phase 1 solicitation issuance, a written determination that an alternative mechanism better serves the public interest. Recognized alternatives include:</w:t>
      </w:r>
    </w:p>
    <w:p w14:paraId="21541E7F" w14:textId="77777777" w:rsidR="00495A62" w:rsidRDefault="00000000">
      <w:pPr>
        <w:spacing w:before="80" w:after="80" w:line="276" w:lineRule="auto"/>
        <w:ind w:left="1080" w:right="360"/>
        <w:jc w:val="both"/>
      </w:pPr>
      <w:r>
        <w:t>(1) Competitive procurement with scoring preference: the production procurement solicitation provides an evaluation preference to vendors that achieved MVP acceptance, weighted to reflect the informational advantage their PoC work created, not to exceed fifteen percent of total available evaluation points; or</w:t>
      </w:r>
    </w:p>
    <w:p w14:paraId="3322B193" w14:textId="77777777" w:rsidR="00495A62" w:rsidRDefault="00000000">
      <w:pPr>
        <w:spacing w:before="80" w:after="80" w:line="276" w:lineRule="auto"/>
        <w:ind w:left="1080" w:right="360"/>
        <w:jc w:val="both"/>
      </w:pPr>
      <w:r>
        <w:t xml:space="preserve">(2) Full and open competitive procurement without preference: the Procuring Government proceeds directly to a fully competitive production </w:t>
      </w:r>
      <w:r>
        <w:lastRenderedPageBreak/>
        <w:t>procurement using the MVP as the specification baseline, with all potential vendors, including PoC participants and non-participants, competing on equal terms.</w:t>
      </w:r>
    </w:p>
    <w:p w14:paraId="55031A29" w14:textId="77777777" w:rsidR="00495A62" w:rsidRDefault="00000000">
      <w:pPr>
        <w:spacing w:before="100" w:after="100" w:line="276" w:lineRule="auto"/>
        <w:ind w:left="720" w:right="360"/>
        <w:jc w:val="both"/>
      </w:pPr>
      <w:r>
        <w:t xml:space="preserve">(d) Vendor Disqualification Prohibited. No vendor that participated in </w:t>
      </w:r>
      <w:proofErr w:type="gramStart"/>
      <w:r>
        <w:t>a PoC</w:t>
      </w:r>
      <w:proofErr w:type="gramEnd"/>
      <w:r>
        <w:t xml:space="preserve"> Procurement under this Article may be disqualified from participating in the subsequent production procurement solely </w:t>
      </w:r>
      <w:proofErr w:type="gramStart"/>
      <w:r>
        <w:t>on the basis of</w:t>
      </w:r>
      <w:proofErr w:type="gramEnd"/>
      <w:r>
        <w:t xml:space="preserve"> its PoC participation, except where a specific conflict of interest has been identified and documented by the Procurement Officer.</w:t>
      </w:r>
    </w:p>
    <w:p w14:paraId="730F74DA" w14:textId="77777777" w:rsidR="00495A62" w:rsidRDefault="00000000">
      <w:pPr>
        <w:spacing w:before="100" w:after="100" w:line="276" w:lineRule="auto"/>
        <w:ind w:left="720" w:right="360"/>
        <w:jc w:val="both"/>
      </w:pPr>
      <w:r>
        <w:t>(e) Specification from MVP. The production procurement specifications shall be derived from the MVP functional baseline and shall be expressed as outcome-based or performance-based specifications consistent with the requirements of Section 3B-202, updated to reflect the operational knowledge generated during the PoC Procurement. The Procuring Government is not required to use the exact MVP architecture in the production procurement; it is required to specify the functional outcomes that the MVP demonstrated are achievable. Regarding subsection (d), the prohibition on disqualification based solely on PoC participation does not displace organizational conflict of interest rules under applicable state law. Where PoC participation has created a genuine informational advantage that cannot be mitigated, state OCI rules may independently require recusal or other remedies; the Procurement Officer should assess OCI risk before the production procurement solicitation is issued.</w:t>
      </w:r>
    </w:p>
    <w:p w14:paraId="3302C6DB" w14:textId="77777777" w:rsidR="00495A62" w:rsidRDefault="00000000">
      <w:pPr>
        <w:spacing w:before="200" w:after="80"/>
        <w:ind w:left="720"/>
      </w:pPr>
      <w:r>
        <w:rPr>
          <w:b/>
          <w:bCs/>
          <w:caps/>
          <w:color w:val="2E4057"/>
          <w:sz w:val="22"/>
          <w:szCs w:val="22"/>
        </w:rPr>
        <w:t>OFFICIAL COMMENT</w:t>
      </w:r>
    </w:p>
    <w:p w14:paraId="0C939C8C" w14:textId="77777777" w:rsidR="00495A62" w:rsidRDefault="00000000">
      <w:pPr>
        <w:spacing w:before="140" w:after="60"/>
        <w:ind w:left="720"/>
      </w:pPr>
      <w:r>
        <w:rPr>
          <w:b/>
          <w:bCs/>
          <w:color w:val="2E4057"/>
          <w:sz w:val="22"/>
          <w:szCs w:val="22"/>
        </w:rPr>
        <w:t>Purpose and Design</w:t>
      </w:r>
    </w:p>
    <w:p w14:paraId="15E96A4C" w14:textId="77777777" w:rsidR="00495A62" w:rsidRDefault="00000000">
      <w:pPr>
        <w:spacing w:before="100" w:after="100" w:line="260" w:lineRule="auto"/>
        <w:ind w:left="720" w:right="360"/>
        <w:jc w:val="both"/>
      </w:pPr>
      <w:r>
        <w:rPr>
          <w:i/>
          <w:iCs/>
          <w:color w:val="333333"/>
          <w:sz w:val="22"/>
          <w:szCs w:val="22"/>
        </w:rPr>
        <w:t xml:space="preserve">Section 3B-309 addresses what Part II of this working paper identifies as the transition-to-production problem: the gap that makes PoC Procurement both essential and difficult to implement in practice. If the government cannot offer PoC vendors any path to production work, participation incentives are too low for capable vendors to engage. If the government offers PoC vendors a guaranteed path to production work, the PoC phase becomes a vehicle for circumventing competition rather than </w:t>
      </w:r>
      <w:proofErr w:type="gramStart"/>
      <w:r>
        <w:rPr>
          <w:i/>
          <w:iCs/>
          <w:color w:val="333333"/>
          <w:sz w:val="22"/>
          <w:szCs w:val="22"/>
        </w:rPr>
        <w:t>a genuine</w:t>
      </w:r>
      <w:proofErr w:type="gramEnd"/>
      <w:r>
        <w:rPr>
          <w:i/>
          <w:iCs/>
          <w:color w:val="333333"/>
          <w:sz w:val="22"/>
          <w:szCs w:val="22"/>
        </w:rPr>
        <w:t xml:space="preserve"> exploration. The Right of First Negotiation mechanism navigates this tension by creating a meaningful but not guaranteed production pathway for vendors whose PoC work demonstrates genuine value.</w:t>
      </w:r>
    </w:p>
    <w:p w14:paraId="369FAB5E" w14:textId="77777777" w:rsidR="00495A62" w:rsidRDefault="00000000">
      <w:pPr>
        <w:spacing w:before="140" w:after="60"/>
        <w:ind w:left="720"/>
      </w:pPr>
      <w:r>
        <w:rPr>
          <w:b/>
          <w:bCs/>
          <w:color w:val="2E4057"/>
          <w:sz w:val="22"/>
          <w:szCs w:val="22"/>
        </w:rPr>
        <w:t>Why the Right of First Negotiation Is Recommended</w:t>
      </w:r>
    </w:p>
    <w:p w14:paraId="267E131C" w14:textId="77777777" w:rsidR="00495A62" w:rsidRDefault="00000000">
      <w:pPr>
        <w:spacing w:before="100" w:after="100" w:line="260" w:lineRule="auto"/>
        <w:ind w:left="720" w:right="360"/>
        <w:jc w:val="both"/>
      </w:pPr>
      <w:r>
        <w:rPr>
          <w:i/>
          <w:iCs/>
          <w:color w:val="333333"/>
          <w:sz w:val="22"/>
          <w:szCs w:val="22"/>
        </w:rPr>
        <w:t xml:space="preserve">Of the three available transition mechanisms, the Right of First Negotiation is recommended for three reasons. First, it creates the strongest participation incentive without guaranteeing award, because vendors understand that successful PoC performance gives them a preferred negotiating position without foreclosing competition if their production pricing is unreasonable. Second, it does not require statutory disqualification authority and does not distort the production competition: </w:t>
      </w:r>
      <w:r>
        <w:rPr>
          <w:i/>
          <w:iCs/>
          <w:color w:val="333333"/>
          <w:sz w:val="22"/>
          <w:szCs w:val="22"/>
        </w:rPr>
        <w:lastRenderedPageBreak/>
        <w:t>vendors who fail right-of-first-negotiation discussions compete in the subsequent procurement on the same terms as all other bidders. Where multiple vendors have achieved MVP acceptance, the sequential negotiation order under subsection (b)(3) is determined by pre-published Phase 3 evaluation scores set before proposals were received; this pre-publication requirement is the principal safeguard against a protest that the scoring order was manipulated to advantage a preferred vendor. Third, it is consistent with the SBIR Phase III transition model that has operated successfully in federal procurement for more than forty years, providing a legally familiar framework with a documented performance record. Adopting states that prefer the competitive scoring preference model, or full and open competition without preference, may designate either through the subsection (c) written determination process. The paper recommends against making the alternative mechanisms the default because they either reduce vendor participation incentives, the full competition option, or create evaluation complexity that invites protest, the scoring preference option.</w:t>
      </w:r>
    </w:p>
    <w:p w14:paraId="4DAFEA78" w14:textId="77777777" w:rsidR="00495A62" w:rsidRDefault="00000000">
      <w:pPr>
        <w:spacing w:before="140" w:after="60"/>
        <w:ind w:left="720"/>
      </w:pPr>
      <w:r>
        <w:rPr>
          <w:b/>
          <w:bCs/>
          <w:color w:val="2E4057"/>
          <w:sz w:val="22"/>
          <w:szCs w:val="22"/>
        </w:rPr>
        <w:t>The MVP as Production Specification Baseline</w:t>
      </w:r>
    </w:p>
    <w:p w14:paraId="70C2DA81" w14:textId="77777777" w:rsidR="00495A62" w:rsidRDefault="00000000">
      <w:pPr>
        <w:spacing w:before="100" w:after="100" w:line="260" w:lineRule="auto"/>
        <w:ind w:left="720" w:right="360"/>
        <w:jc w:val="both"/>
      </w:pPr>
      <w:r>
        <w:rPr>
          <w:i/>
          <w:iCs/>
          <w:color w:val="333333"/>
          <w:sz w:val="22"/>
          <w:szCs w:val="22"/>
        </w:rPr>
        <w:t xml:space="preserve">Subsection (e) closes the specification loop that Section 3B-202 opens. The production procurement is specified from the MVP functional baseline rather than from the agency's original assumptions about what it needed. This is the most significant practical benefit of the Article 3B framework: the government enters production procurement knowing, from empirical evidence, what is achievable, at what cost and risk, under what operational conditions. It can write a production specification that reflects operational reality rather than pre-procurement assumptions, attracting vendors who can </w:t>
      </w:r>
      <w:proofErr w:type="gramStart"/>
      <w:r>
        <w:rPr>
          <w:i/>
          <w:iCs/>
          <w:color w:val="333333"/>
          <w:sz w:val="22"/>
          <w:szCs w:val="22"/>
        </w:rPr>
        <w:t>actually deliver</w:t>
      </w:r>
      <w:proofErr w:type="gramEnd"/>
      <w:r>
        <w:rPr>
          <w:i/>
          <w:iCs/>
          <w:color w:val="333333"/>
          <w:sz w:val="22"/>
          <w:szCs w:val="22"/>
        </w:rPr>
        <w:t xml:space="preserve"> rather than vendors who can most convincingly promise delivery. The requirement that production specifications be expressed as outcome-based or performance-based specifications, rather than as reproductions of the MVP architecture, ensures that the production competition remains genuinely open: multiple vendors should be able to propose solutions meeting the demonstrated performance baseline, not just the vendor whose specific MVP architecture is reproduced in the specification.</w:t>
      </w:r>
    </w:p>
    <w:p w14:paraId="47F49B9E" w14:textId="45114C29" w:rsidR="00495A62" w:rsidRDefault="00495A62" w:rsidP="00CC298D">
      <w:pPr>
        <w:spacing w:before="320" w:after="320"/>
      </w:pPr>
    </w:p>
    <w:p w14:paraId="20B7AACC" w14:textId="77777777" w:rsidR="00CC298D" w:rsidRDefault="00CC298D">
      <w:pPr>
        <w:rPr>
          <w:b/>
          <w:bCs/>
          <w:caps/>
          <w:color w:val="2E4057"/>
          <w:sz w:val="28"/>
          <w:szCs w:val="28"/>
        </w:rPr>
      </w:pPr>
      <w:r>
        <w:rPr>
          <w:b/>
          <w:bCs/>
          <w:caps/>
          <w:color w:val="2E4057"/>
          <w:sz w:val="28"/>
          <w:szCs w:val="28"/>
        </w:rPr>
        <w:br w:type="page"/>
      </w:r>
    </w:p>
    <w:p w14:paraId="0E02E108" w14:textId="6E2BC87F"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V: Conforming Amendments to Existing MPC Articles</w:t>
      </w:r>
    </w:p>
    <w:p w14:paraId="1F7FA136" w14:textId="77777777" w:rsidR="00495A62" w:rsidRDefault="00000000">
      <w:pPr>
        <w:spacing w:before="120" w:after="120" w:line="280" w:lineRule="auto"/>
        <w:jc w:val="both"/>
      </w:pPr>
      <w:r>
        <w:t xml:space="preserve">The proposed Article 3B </w:t>
      </w:r>
      <w:proofErr w:type="gramStart"/>
      <w:r>
        <w:t>operates</w:t>
      </w:r>
      <w:proofErr w:type="gramEnd"/>
      <w:r>
        <w:t xml:space="preserve"> as a self-contained procedural framework. Four conforming amendments to existing MPC articles are required to integrate Article 3B into the Code's overall structure, resolve potential interpretive conflicts between the new article and existing provisions, and extend the Code's professional development requirements to cover the specialized competencies that PoC Procurement demands. Each amendment is presented below with full MPC-style statutory language and an Official Comment.</w:t>
      </w:r>
    </w:p>
    <w:p w14:paraId="7E585C05" w14:textId="77777777" w:rsidR="00495A62" w:rsidRDefault="00000000">
      <w:pPr>
        <w:spacing w:before="120" w:after="120" w:line="280" w:lineRule="auto"/>
        <w:jc w:val="both"/>
      </w:pPr>
      <w:r>
        <w:t>In each case, the proposed amendment is drafted as an addition to the existing section rather than a replacement of existing text. Adopting states should review their enacted versions of each section to determine the appropriate point of insertion.</w:t>
      </w:r>
    </w:p>
    <w:p w14:paraId="1ECF2FFE" w14:textId="77777777" w:rsidR="00495A62" w:rsidRDefault="00000000">
      <w:pPr>
        <w:pBdr>
          <w:top w:val="single" w:sz="4" w:space="2" w:color="BBBBBB"/>
          <w:left w:val="single" w:sz="12" w:space="4" w:color="5C7A5C"/>
          <w:bottom w:val="single" w:sz="4" w:space="2" w:color="BBBBBB"/>
        </w:pBdr>
        <w:spacing w:before="360" w:after="120"/>
        <w:ind w:left="360"/>
      </w:pPr>
      <w:r>
        <w:rPr>
          <w:b/>
          <w:bCs/>
          <w:color w:val="2E4057"/>
          <w:sz w:val="26"/>
          <w:szCs w:val="26"/>
        </w:rPr>
        <w:t>Amendment 1: Article 3, § 3-101 — Principles Governing Source Selection</w:t>
      </w:r>
    </w:p>
    <w:p w14:paraId="0D70E6A3" w14:textId="77777777" w:rsidR="00495A62" w:rsidRDefault="00000000">
      <w:pPr>
        <w:pStyle w:val="Heading3"/>
        <w:spacing w:before="260" w:after="100"/>
      </w:pPr>
      <w:r>
        <w:t>Existing Section (Relevant Portion)</w:t>
      </w:r>
    </w:p>
    <w:p w14:paraId="3F4CBA01" w14:textId="77777777" w:rsidR="00495A62" w:rsidRDefault="00000000">
      <w:pPr>
        <w:spacing w:before="120" w:after="120" w:line="280" w:lineRule="auto"/>
        <w:jc w:val="both"/>
      </w:pPr>
      <w:r>
        <w:t>Section 3-101 of the 2000 MPC establishes the general principles governing source selection, including the preference for competitive sealed bidding and the authorization for other methods under specified conditions.</w:t>
      </w:r>
    </w:p>
    <w:p w14:paraId="7D889A71" w14:textId="77777777" w:rsidR="00495A62" w:rsidRDefault="00000000">
      <w:pPr>
        <w:pStyle w:val="Heading3"/>
        <w:spacing w:before="260" w:after="100"/>
      </w:pPr>
      <w:r>
        <w:t>Proposed Addition</w:t>
      </w:r>
    </w:p>
    <w:p w14:paraId="7C99D855" w14:textId="77777777" w:rsidR="00495A62" w:rsidRDefault="00000000">
      <w:pPr>
        <w:spacing w:before="100" w:after="100" w:line="276" w:lineRule="auto"/>
        <w:ind w:left="720" w:right="360"/>
        <w:jc w:val="both"/>
      </w:pPr>
      <w:r>
        <w:t>Add new subsection to § 3-101:</w:t>
      </w:r>
    </w:p>
    <w:p w14:paraId="350D3BAD" w14:textId="77777777" w:rsidR="00495A62" w:rsidRDefault="00000000">
      <w:pPr>
        <w:spacing w:before="100" w:after="100" w:line="276" w:lineRule="auto"/>
        <w:ind w:left="720" w:right="360"/>
        <w:jc w:val="both"/>
      </w:pPr>
      <w:r>
        <w:t xml:space="preserve">(d) Innovation Procurement. For procurements conducted under Article 3B of this Code, competition shall be evaluated to include technical merit, risk-sharing capacity, and the quality of the proposed exploratory methodology, in addition to price and other factors applicable under Article 3. Nothing in this subsection shall be construed to require that price be </w:t>
      </w:r>
      <w:proofErr w:type="gramStart"/>
      <w:r>
        <w:t>weighted</w:t>
      </w:r>
      <w:proofErr w:type="gramEnd"/>
      <w:r>
        <w:t xml:space="preserve"> equally with technical merit in Article 3B evaluations, or to limit the Procuring Government's discretion to establish phase-specific evaluation criteria under Section 3B-203.</w:t>
      </w:r>
    </w:p>
    <w:p w14:paraId="57B72CFE" w14:textId="77777777" w:rsidR="00495A62" w:rsidRDefault="00000000">
      <w:pPr>
        <w:spacing w:before="200" w:after="80"/>
        <w:ind w:left="720"/>
      </w:pPr>
      <w:r>
        <w:rPr>
          <w:b/>
          <w:bCs/>
          <w:caps/>
          <w:color w:val="2E4057"/>
          <w:sz w:val="22"/>
          <w:szCs w:val="22"/>
        </w:rPr>
        <w:t>OFFICIAL COMMENT</w:t>
      </w:r>
    </w:p>
    <w:p w14:paraId="2946019D" w14:textId="77777777" w:rsidR="00495A62" w:rsidRDefault="00000000">
      <w:pPr>
        <w:spacing w:before="140" w:after="60"/>
        <w:ind w:left="720"/>
      </w:pPr>
      <w:r>
        <w:rPr>
          <w:b/>
          <w:bCs/>
          <w:color w:val="2E4057"/>
          <w:sz w:val="22"/>
          <w:szCs w:val="22"/>
        </w:rPr>
        <w:t>Purpose</w:t>
      </w:r>
    </w:p>
    <w:p w14:paraId="7DB8A8BE" w14:textId="77777777" w:rsidR="00495A62" w:rsidRDefault="00000000">
      <w:pPr>
        <w:spacing w:before="100" w:after="100" w:line="260" w:lineRule="auto"/>
        <w:ind w:left="720" w:right="360"/>
        <w:jc w:val="both"/>
      </w:pPr>
      <w:r>
        <w:rPr>
          <w:i/>
          <w:iCs/>
          <w:color w:val="333333"/>
          <w:sz w:val="22"/>
          <w:szCs w:val="22"/>
        </w:rPr>
        <w:t xml:space="preserve">The addition to Section 3-101 provides explicit statutory authorization for the multi-factor competitive evaluation that Article 3B requires. Under the existing Section 3-101 framework, competition is primarily understood as price competition, with technical factors permitted as supplements under the competitive sealed proposal method. In PoC Procurement, technical merit, risk-sharing capacity, and methodological quality are the primary competitive dimensions; price is a secondary constraint. Without this </w:t>
      </w:r>
      <w:r>
        <w:rPr>
          <w:i/>
          <w:iCs/>
          <w:color w:val="333333"/>
          <w:sz w:val="22"/>
          <w:szCs w:val="22"/>
        </w:rPr>
        <w:lastRenderedPageBreak/>
        <w:t>conforming amendment, a protest could be filed claiming that Article 3B's evaluation criteria are inconsistent with the Code's general competition principles. The amendment resolves that inconsistency by expressly authorizing the broader competition concept for Article 3B contexts.</w:t>
      </w:r>
    </w:p>
    <w:p w14:paraId="302E7085" w14:textId="77777777" w:rsidR="00495A62" w:rsidRDefault="00000000">
      <w:pPr>
        <w:spacing w:before="140" w:after="60"/>
        <w:ind w:left="720"/>
      </w:pPr>
      <w:r>
        <w:rPr>
          <w:b/>
          <w:bCs/>
          <w:color w:val="2E4057"/>
          <w:sz w:val="22"/>
          <w:szCs w:val="22"/>
        </w:rPr>
        <w:t>Problems Precluded</w:t>
      </w:r>
    </w:p>
    <w:p w14:paraId="009F5C96" w14:textId="77777777" w:rsidR="00495A62" w:rsidRDefault="00000000">
      <w:pPr>
        <w:spacing w:before="100" w:after="100" w:line="260" w:lineRule="auto"/>
        <w:ind w:left="720" w:right="360"/>
        <w:jc w:val="both"/>
      </w:pPr>
      <w:r>
        <w:rPr>
          <w:i/>
          <w:iCs/>
          <w:color w:val="333333"/>
          <w:sz w:val="22"/>
          <w:szCs w:val="22"/>
        </w:rPr>
        <w:t>The amendment precludes protests asserting that PoC Procurement evaluation criteria impermissibly subordinate price to technical factors, a challenge that has been raised against innovative procurement methods in multiple jurisdictions and that would, if successful, effectively force PoC evaluations back toward price-dominated frameworks incompatible with genuinely exploratory work. By locating the authorization in Section 3-101, the Code's principles article, the amendment establishes the broadened competition concept at the foundational level rather than as an exception to a general rule.</w:t>
      </w:r>
    </w:p>
    <w:p w14:paraId="7CAF97CB" w14:textId="77777777" w:rsidR="00495A62" w:rsidRDefault="00495A62">
      <w:pPr>
        <w:spacing w:before="80" w:after="80"/>
      </w:pPr>
    </w:p>
    <w:p w14:paraId="775F3484" w14:textId="77777777" w:rsidR="00495A62" w:rsidRDefault="00000000">
      <w:pPr>
        <w:pBdr>
          <w:top w:val="single" w:sz="4" w:space="2" w:color="BBBBBB"/>
          <w:left w:val="single" w:sz="12" w:space="4" w:color="5C7A5C"/>
          <w:bottom w:val="single" w:sz="4" w:space="2" w:color="BBBBBB"/>
        </w:pBdr>
        <w:spacing w:before="360" w:after="120"/>
        <w:ind w:left="360"/>
      </w:pPr>
      <w:r>
        <w:rPr>
          <w:b/>
          <w:bCs/>
          <w:color w:val="2E4057"/>
          <w:sz w:val="26"/>
          <w:szCs w:val="26"/>
        </w:rPr>
        <w:t>Amendment 2: Article 3, § 3-205 — Sole Source Procurement</w:t>
      </w:r>
    </w:p>
    <w:p w14:paraId="1A6E9561" w14:textId="77777777" w:rsidR="00495A62" w:rsidRDefault="00000000">
      <w:pPr>
        <w:pStyle w:val="Heading3"/>
        <w:spacing w:before="260" w:after="100"/>
      </w:pPr>
      <w:r>
        <w:t>Existing Section (Relevant Portion)</w:t>
      </w:r>
    </w:p>
    <w:p w14:paraId="1F657398" w14:textId="77777777" w:rsidR="00495A62" w:rsidRDefault="00000000">
      <w:pPr>
        <w:spacing w:before="120" w:after="120" w:line="280" w:lineRule="auto"/>
        <w:jc w:val="both"/>
      </w:pPr>
      <w:r>
        <w:t>Section 3-205 of the 2000 MPC permits sole source procurement when the Procurement Officer determines in writing that there is only one source for the required supply, service, or construction item, and identifies the limited circumstances under which that determination may be made.</w:t>
      </w:r>
    </w:p>
    <w:p w14:paraId="12106164" w14:textId="77777777" w:rsidR="00495A62" w:rsidRDefault="00000000">
      <w:pPr>
        <w:pStyle w:val="Heading3"/>
        <w:spacing w:before="260" w:after="100"/>
      </w:pPr>
      <w:r>
        <w:t>Proposed Addition</w:t>
      </w:r>
    </w:p>
    <w:p w14:paraId="197504A2" w14:textId="77777777" w:rsidR="00495A62" w:rsidRDefault="00000000">
      <w:pPr>
        <w:spacing w:before="100" w:after="100" w:line="276" w:lineRule="auto"/>
        <w:ind w:left="720" w:right="360"/>
        <w:jc w:val="both"/>
      </w:pPr>
      <w:r>
        <w:t>Add new subsection to § 3-205:</w:t>
      </w:r>
    </w:p>
    <w:p w14:paraId="393F8362" w14:textId="77777777" w:rsidR="00495A62" w:rsidRDefault="00000000">
      <w:pPr>
        <w:spacing w:before="100" w:after="100" w:line="276" w:lineRule="auto"/>
        <w:ind w:left="720" w:right="360"/>
        <w:jc w:val="both"/>
      </w:pPr>
      <w:r>
        <w:t>(e) PoC Phase Transitions. For purposes of this section, a determination that only one source is available shall be deemed satisfied with respect to a specific PoC phase deliverable when: (</w:t>
      </w:r>
      <w:proofErr w:type="spellStart"/>
      <w:r>
        <w:t>i</w:t>
      </w:r>
      <w:proofErr w:type="spellEnd"/>
      <w:r>
        <w:t xml:space="preserve">) the procurement is being conducted under Article 3B of this Code; (ii) the prior phase </w:t>
      </w:r>
      <w:proofErr w:type="spellStart"/>
      <w:r>
        <w:t>downselect</w:t>
      </w:r>
      <w:proofErr w:type="spellEnd"/>
      <w:r>
        <w:t xml:space="preserve"> was conducted in accordance with Section 3B-203; (iii) the vendor whose work is the subject of the sole source determination was selected through a competitive Phase Gate Review documented in accordance with Section 3B-203(e)(3); and (iv) a public notice of the phase transition has been published in accordance with Section 3B-308(b)(2). Nothing in this subsection shall authorize sole source procurement for a production procurement following the conclusion of a PoC Procurement under Article 3B.</w:t>
      </w:r>
    </w:p>
    <w:p w14:paraId="54A019D9" w14:textId="77777777" w:rsidR="00495A62" w:rsidRDefault="00000000">
      <w:pPr>
        <w:spacing w:before="200" w:after="80"/>
        <w:ind w:left="720"/>
      </w:pPr>
      <w:r>
        <w:rPr>
          <w:b/>
          <w:bCs/>
          <w:caps/>
          <w:color w:val="2E4057"/>
          <w:sz w:val="22"/>
          <w:szCs w:val="22"/>
        </w:rPr>
        <w:t>OFFICIAL COMMENT</w:t>
      </w:r>
    </w:p>
    <w:p w14:paraId="1D0C6C1B" w14:textId="77777777" w:rsidR="00495A62" w:rsidRDefault="00000000">
      <w:pPr>
        <w:spacing w:before="140" w:after="60"/>
        <w:ind w:left="720"/>
      </w:pPr>
      <w:r>
        <w:rPr>
          <w:b/>
          <w:bCs/>
          <w:color w:val="2E4057"/>
          <w:sz w:val="22"/>
          <w:szCs w:val="22"/>
        </w:rPr>
        <w:t>Purpose</w:t>
      </w:r>
    </w:p>
    <w:p w14:paraId="009C0C39" w14:textId="77777777" w:rsidR="00495A62" w:rsidRDefault="00000000">
      <w:pPr>
        <w:spacing w:before="100" w:after="100" w:line="260" w:lineRule="auto"/>
        <w:ind w:left="720" w:right="360"/>
        <w:jc w:val="both"/>
      </w:pPr>
      <w:r>
        <w:rPr>
          <w:i/>
          <w:iCs/>
          <w:color w:val="333333"/>
          <w:sz w:val="22"/>
          <w:szCs w:val="22"/>
        </w:rPr>
        <w:t xml:space="preserve">Phase 2 and Phase 3 PoC work involves continuation contracts with vendors who survived competitive </w:t>
      </w:r>
      <w:proofErr w:type="spellStart"/>
      <w:r>
        <w:rPr>
          <w:i/>
          <w:iCs/>
          <w:color w:val="333333"/>
          <w:sz w:val="22"/>
          <w:szCs w:val="22"/>
        </w:rPr>
        <w:t>downselects</w:t>
      </w:r>
      <w:proofErr w:type="spellEnd"/>
      <w:r>
        <w:rPr>
          <w:i/>
          <w:iCs/>
          <w:color w:val="333333"/>
          <w:sz w:val="22"/>
          <w:szCs w:val="22"/>
        </w:rPr>
        <w:t xml:space="preserve"> rather than newly competed awards. Under strict </w:t>
      </w:r>
      <w:r>
        <w:rPr>
          <w:i/>
          <w:iCs/>
          <w:color w:val="333333"/>
          <w:sz w:val="22"/>
          <w:szCs w:val="22"/>
        </w:rPr>
        <w:lastRenderedPageBreak/>
        <w:t>application of Section 3-205, these continuation contracts might be challenged as sole source awards lacking adequate justification, because the government is contracting with a specific vendor without issuing a new competitive solicitation. The conforming amendment resolves this by treating the prior competitive Phase Gate Review, conducted under published criteria with documented rationale, as constituting the competitive process that satisfies the spirit of the sole source justification requirement. The final sentence explicitly prohibits extension of this provision to production procurement, preventing the PoC framework from being used to circumvent full competition at the production stage.</w:t>
      </w:r>
    </w:p>
    <w:p w14:paraId="7D8D93F6" w14:textId="77777777" w:rsidR="00495A62" w:rsidRDefault="00000000">
      <w:pPr>
        <w:spacing w:before="140" w:after="60"/>
        <w:ind w:left="720"/>
      </w:pPr>
      <w:r>
        <w:rPr>
          <w:b/>
          <w:bCs/>
          <w:color w:val="2E4057"/>
          <w:sz w:val="22"/>
          <w:szCs w:val="22"/>
        </w:rPr>
        <w:t>Problems Precluded</w:t>
      </w:r>
    </w:p>
    <w:p w14:paraId="3B72397B" w14:textId="77777777" w:rsidR="00495A62" w:rsidRDefault="00000000">
      <w:pPr>
        <w:spacing w:before="100" w:after="100" w:line="260" w:lineRule="auto"/>
        <w:ind w:left="720" w:right="360"/>
        <w:jc w:val="both"/>
      </w:pPr>
      <w:r>
        <w:rPr>
          <w:i/>
          <w:iCs/>
          <w:color w:val="333333"/>
          <w:sz w:val="22"/>
          <w:szCs w:val="22"/>
        </w:rPr>
        <w:t xml:space="preserve">The amendment precludes </w:t>
      </w:r>
      <w:proofErr w:type="gramStart"/>
      <w:r>
        <w:rPr>
          <w:i/>
          <w:iCs/>
          <w:color w:val="333333"/>
          <w:sz w:val="22"/>
          <w:szCs w:val="22"/>
        </w:rPr>
        <w:t>protests against</w:t>
      </w:r>
      <w:proofErr w:type="gramEnd"/>
      <w:r>
        <w:rPr>
          <w:i/>
          <w:iCs/>
          <w:color w:val="333333"/>
          <w:sz w:val="22"/>
          <w:szCs w:val="22"/>
        </w:rPr>
        <w:t xml:space="preserve"> Phase 2 and Phase 3 continuation awards on the </w:t>
      </w:r>
      <w:proofErr w:type="gramStart"/>
      <w:r>
        <w:rPr>
          <w:i/>
          <w:iCs/>
          <w:color w:val="333333"/>
          <w:sz w:val="22"/>
          <w:szCs w:val="22"/>
        </w:rPr>
        <w:t>ground</w:t>
      </w:r>
      <w:proofErr w:type="gramEnd"/>
      <w:r>
        <w:rPr>
          <w:i/>
          <w:iCs/>
          <w:color w:val="333333"/>
          <w:sz w:val="22"/>
          <w:szCs w:val="22"/>
        </w:rPr>
        <w:t xml:space="preserve"> that they constitute unauthorized sole source procurement. Without this amendment, a vendor eliminated at Phase 1 could protest the Phase 2 award to a surviving competitor as an unjustified sole source, potentially disrupting a legitimate competitive process. The amendment makes clear that phase continuation awards are not sole source awards in the relevant sense: they are the product of a competitive </w:t>
      </w:r>
      <w:proofErr w:type="spellStart"/>
      <w:r>
        <w:rPr>
          <w:i/>
          <w:iCs/>
          <w:color w:val="333333"/>
          <w:sz w:val="22"/>
          <w:szCs w:val="22"/>
        </w:rPr>
        <w:t>downselect</w:t>
      </w:r>
      <w:proofErr w:type="spellEnd"/>
      <w:r>
        <w:rPr>
          <w:i/>
          <w:iCs/>
          <w:color w:val="333333"/>
          <w:sz w:val="22"/>
          <w:szCs w:val="22"/>
        </w:rPr>
        <w:t xml:space="preserve"> process that simply does not involve a new solicitation at each phase.</w:t>
      </w:r>
    </w:p>
    <w:p w14:paraId="28140578" w14:textId="77777777" w:rsidR="00495A62" w:rsidRDefault="00495A62">
      <w:pPr>
        <w:spacing w:before="80" w:after="80"/>
      </w:pPr>
    </w:p>
    <w:p w14:paraId="232281A5" w14:textId="77777777" w:rsidR="00495A62" w:rsidRDefault="00000000">
      <w:pPr>
        <w:pBdr>
          <w:top w:val="single" w:sz="4" w:space="2" w:color="BBBBBB"/>
          <w:left w:val="single" w:sz="12" w:space="4" w:color="5C7A5C"/>
          <w:bottom w:val="single" w:sz="4" w:space="2" w:color="BBBBBB"/>
        </w:pBdr>
        <w:spacing w:before="360" w:after="120"/>
        <w:ind w:left="360"/>
      </w:pPr>
      <w:r>
        <w:rPr>
          <w:b/>
          <w:bCs/>
          <w:color w:val="2E4057"/>
          <w:sz w:val="26"/>
          <w:szCs w:val="26"/>
        </w:rPr>
        <w:t>Amendment 3: Article 4, § 4-102 — Maximizing Competition Through Specifications</w:t>
      </w:r>
    </w:p>
    <w:p w14:paraId="7DD4617E" w14:textId="77777777" w:rsidR="00495A62" w:rsidRDefault="00000000">
      <w:pPr>
        <w:pStyle w:val="Heading3"/>
        <w:spacing w:before="260" w:after="100"/>
      </w:pPr>
      <w:r>
        <w:t>Existing Section (Relevant Portion)</w:t>
      </w:r>
    </w:p>
    <w:p w14:paraId="57AD14B6" w14:textId="77777777" w:rsidR="00495A62" w:rsidRDefault="00000000">
      <w:pPr>
        <w:spacing w:before="120" w:after="120" w:line="280" w:lineRule="auto"/>
        <w:jc w:val="both"/>
      </w:pPr>
      <w:r>
        <w:t xml:space="preserve">Section 4-102 of the 2000 MPC requires that specifications be drafted </w:t>
      </w:r>
      <w:proofErr w:type="gramStart"/>
      <w:r>
        <w:t>so as to</w:t>
      </w:r>
      <w:proofErr w:type="gramEnd"/>
      <w:r>
        <w:t xml:space="preserve"> maximize competition while accurately describing the government's </w:t>
      </w:r>
      <w:proofErr w:type="gramStart"/>
      <w:r>
        <w:t>needs, and</w:t>
      </w:r>
      <w:proofErr w:type="gramEnd"/>
      <w:r>
        <w:t xml:space="preserve"> prohibits specifications that unnecessarily restrict competition.</w:t>
      </w:r>
    </w:p>
    <w:p w14:paraId="2600605D" w14:textId="77777777" w:rsidR="00495A62" w:rsidRDefault="00000000">
      <w:pPr>
        <w:pStyle w:val="Heading3"/>
        <w:spacing w:before="260" w:after="100"/>
      </w:pPr>
      <w:r>
        <w:t>Proposed Addition</w:t>
      </w:r>
    </w:p>
    <w:p w14:paraId="777D85E1" w14:textId="77777777" w:rsidR="00495A62" w:rsidRDefault="00000000">
      <w:pPr>
        <w:spacing w:before="100" w:after="100" w:line="276" w:lineRule="auto"/>
        <w:ind w:left="720" w:right="360"/>
        <w:jc w:val="both"/>
      </w:pPr>
      <w:r>
        <w:t>Add new subsection to § 4-102:</w:t>
      </w:r>
    </w:p>
    <w:p w14:paraId="25860E7D" w14:textId="77777777" w:rsidR="00495A62" w:rsidRDefault="00000000">
      <w:pPr>
        <w:spacing w:before="100" w:after="100" w:line="276" w:lineRule="auto"/>
        <w:ind w:left="720" w:right="360"/>
        <w:jc w:val="both"/>
      </w:pPr>
      <w:r>
        <w:t>(c) Outcome-Based Specifications Under Article 3B. Outcome-based and performance-based specifications issued pursuant to Section 3B-202 of this Code shall be deemed compliant with the requirements of this section when: (</w:t>
      </w:r>
      <w:proofErr w:type="spellStart"/>
      <w:r>
        <w:t>i</w:t>
      </w:r>
      <w:proofErr w:type="spellEnd"/>
      <w:r>
        <w:t xml:space="preserve">) they accurately describe the Procuring Government's functional need in terms of required outcomes, measurable performance criteria, and applicable operational constraints, without prescribing technical means or solution architecture except as justified in writing under Section 3B-202(a); and (ii) the specification results in three or more responsive proposals offering materially different technical approaches to the stated functional need, or the Procurement Officer has documented an assessment of specification scope in accordance with Section 3B-202(e) where fewer than three materially different approaches are received. A specification meeting the requirements of this </w:t>
      </w:r>
      <w:r>
        <w:lastRenderedPageBreak/>
        <w:t>subsection shall not be subject to protest solely on the ground that it describes outcomes rather than technical methods.</w:t>
      </w:r>
    </w:p>
    <w:p w14:paraId="22E68DBB" w14:textId="77777777" w:rsidR="00495A62" w:rsidRDefault="00000000">
      <w:pPr>
        <w:spacing w:before="200" w:after="80"/>
        <w:ind w:left="720"/>
      </w:pPr>
      <w:r>
        <w:rPr>
          <w:b/>
          <w:bCs/>
          <w:caps/>
          <w:color w:val="2E4057"/>
          <w:sz w:val="22"/>
          <w:szCs w:val="22"/>
        </w:rPr>
        <w:t>OFFICIAL COMMENT</w:t>
      </w:r>
    </w:p>
    <w:p w14:paraId="01D7FAE1" w14:textId="77777777" w:rsidR="00495A62" w:rsidRDefault="00000000">
      <w:pPr>
        <w:spacing w:before="140" w:after="60"/>
        <w:ind w:left="720"/>
      </w:pPr>
      <w:r>
        <w:rPr>
          <w:b/>
          <w:bCs/>
          <w:color w:val="2E4057"/>
          <w:sz w:val="22"/>
          <w:szCs w:val="22"/>
        </w:rPr>
        <w:t>Purpose</w:t>
      </w:r>
    </w:p>
    <w:p w14:paraId="55C04934" w14:textId="77777777" w:rsidR="00495A62" w:rsidRDefault="00000000">
      <w:pPr>
        <w:spacing w:before="100" w:after="100" w:line="260" w:lineRule="auto"/>
        <w:ind w:left="720" w:right="360"/>
        <w:jc w:val="both"/>
      </w:pPr>
      <w:r>
        <w:rPr>
          <w:i/>
          <w:iCs/>
          <w:color w:val="333333"/>
          <w:sz w:val="22"/>
          <w:szCs w:val="22"/>
        </w:rPr>
        <w:t xml:space="preserve">Section 4-102 has historically been interpreted to require that specifications be sufficiently detailed to permit evaluation of proposals on comparable terms, a standard that has been invoked to challenge outcome-based specifications as impermissibly vague. This conforming amendment resolves the tension between the existing maximize-competition standard and the outcome-based specification mandate of Section 3B-202 by establishing an empirical compliance standard: a specification that </w:t>
      </w:r>
      <w:proofErr w:type="gramStart"/>
      <w:r>
        <w:rPr>
          <w:i/>
          <w:iCs/>
          <w:color w:val="333333"/>
          <w:sz w:val="22"/>
          <w:szCs w:val="22"/>
        </w:rPr>
        <w:t>actually generates</w:t>
      </w:r>
      <w:proofErr w:type="gramEnd"/>
      <w:r>
        <w:rPr>
          <w:i/>
          <w:iCs/>
          <w:color w:val="333333"/>
          <w:sz w:val="22"/>
          <w:szCs w:val="22"/>
        </w:rPr>
        <w:t xml:space="preserve"> multiple materially different competitive responses has, by demonstrated fact, maximized competition in the relevant sense. The amendment also explicitly precludes protest based solely on the outcome-based character of the specification, directing protest energy toward the factual question of competitive effect rather than the formal question of specification structure.</w:t>
      </w:r>
    </w:p>
    <w:p w14:paraId="4CC523F6" w14:textId="77777777" w:rsidR="00495A62" w:rsidRDefault="00000000">
      <w:pPr>
        <w:spacing w:before="140" w:after="60"/>
        <w:ind w:left="720"/>
      </w:pPr>
      <w:r>
        <w:rPr>
          <w:b/>
          <w:bCs/>
          <w:color w:val="2E4057"/>
          <w:sz w:val="22"/>
          <w:szCs w:val="22"/>
        </w:rPr>
        <w:t>Legal Scholarship and Practice Support</w:t>
      </w:r>
    </w:p>
    <w:p w14:paraId="42017D91" w14:textId="77777777" w:rsidR="00495A62" w:rsidRDefault="00000000">
      <w:pPr>
        <w:spacing w:before="100" w:after="100" w:line="260" w:lineRule="auto"/>
        <w:ind w:left="720" w:right="360"/>
        <w:jc w:val="both"/>
      </w:pPr>
      <w:r>
        <w:rPr>
          <w:i/>
          <w:iCs/>
          <w:color w:val="333333"/>
          <w:sz w:val="22"/>
          <w:szCs w:val="22"/>
        </w:rPr>
        <w:t>The outcome-based specification compliance standard in this amendment is grounded in a substantial body of procurement research and practice. Virginia's experience under its performance-based procurement guidance documented a measurable increase in responsive proposals when specifications were rewritten in outcome-based terms. World Bank research across multiple international procurement frameworks found that functional and performance-based specifications consistently produced broader competitive ranges than prescriptive specifications. The DHS Procurement Innovation Lab's documented experience with outcome-based solicitations found that the competitive range for technically complex procurements was materially larger and more diverse when specifications described outcomes rather than methods. These findings collectively support the empirical compliance standard as a reliable proxy for the maximize-competition objective that Section 4-102 is designed to serve.</w:t>
      </w:r>
    </w:p>
    <w:p w14:paraId="4E3AFE6A" w14:textId="77777777" w:rsidR="00495A62" w:rsidRDefault="00495A62">
      <w:pPr>
        <w:spacing w:before="80" w:after="80"/>
      </w:pPr>
    </w:p>
    <w:p w14:paraId="483F0113" w14:textId="77777777" w:rsidR="00495A62" w:rsidRDefault="00000000">
      <w:pPr>
        <w:pBdr>
          <w:top w:val="single" w:sz="4" w:space="2" w:color="BBBBBB"/>
          <w:left w:val="single" w:sz="12" w:space="4" w:color="5C7A5C"/>
          <w:bottom w:val="single" w:sz="4" w:space="2" w:color="BBBBBB"/>
        </w:pBdr>
        <w:spacing w:before="360" w:after="120"/>
        <w:ind w:left="360"/>
      </w:pPr>
      <w:r>
        <w:rPr>
          <w:b/>
          <w:bCs/>
          <w:color w:val="2E4057"/>
          <w:sz w:val="26"/>
          <w:szCs w:val="26"/>
        </w:rPr>
        <w:t>Amendment 4: Article 15, § 15-104 — Professional Development and Training</w:t>
      </w:r>
    </w:p>
    <w:p w14:paraId="34190434" w14:textId="77777777" w:rsidR="00495A62" w:rsidRDefault="00000000">
      <w:pPr>
        <w:pStyle w:val="Heading3"/>
        <w:spacing w:before="260" w:after="100"/>
      </w:pPr>
      <w:r>
        <w:t>Existing Section (Relevant Portion)</w:t>
      </w:r>
    </w:p>
    <w:p w14:paraId="3EC3119D" w14:textId="77777777" w:rsidR="00495A62" w:rsidRDefault="00000000">
      <w:pPr>
        <w:spacing w:before="120" w:after="120" w:line="280" w:lineRule="auto"/>
        <w:jc w:val="both"/>
      </w:pPr>
      <w:r>
        <w:t>Section 15-104 of the 2000 MPC addresses professional development requirements for procurement personnel, including certification and continuing education standards.</w:t>
      </w:r>
    </w:p>
    <w:p w14:paraId="5C877BE4" w14:textId="77777777" w:rsidR="00495A62" w:rsidRDefault="00000000">
      <w:pPr>
        <w:pStyle w:val="Heading3"/>
        <w:spacing w:before="260" w:after="100"/>
      </w:pPr>
      <w:r>
        <w:t>Proposed Addition</w:t>
      </w:r>
    </w:p>
    <w:p w14:paraId="54A8BB16" w14:textId="77777777" w:rsidR="00495A62" w:rsidRDefault="00000000">
      <w:pPr>
        <w:spacing w:before="100" w:after="100" w:line="276" w:lineRule="auto"/>
        <w:ind w:left="720" w:right="360"/>
        <w:jc w:val="both"/>
      </w:pPr>
      <w:r>
        <w:t>Add new subsection to § 15-104:</w:t>
      </w:r>
    </w:p>
    <w:p w14:paraId="681E0BFD" w14:textId="77777777" w:rsidR="00495A62" w:rsidRDefault="00000000">
      <w:pPr>
        <w:spacing w:before="100" w:after="100" w:line="276" w:lineRule="auto"/>
        <w:ind w:left="720" w:right="360"/>
        <w:jc w:val="both"/>
      </w:pPr>
      <w:r>
        <w:lastRenderedPageBreak/>
        <w:t>(d) Innovation Procurement Competency. Each State and Local Government that adopts Article 3B of this Code shall designate one or more Innovation Procurement Officers responsible for administering PoC Procurements under that Article. Designated Innovation Procurement Officers shall, within eighteen months of designation, complete not fewer than sixteen hours of training in PoC and pre-commercial procurement methods, covering: outcome-based specification development; phased multi-vendor evaluation; intellectual property frameworks for government-funded R&amp;D; Citizen Data protection in technology procurement; and subcontractor accountability and flow-down clause administration. Training programs satisfying this requirement shall be based on the ABA Model Procurement Code Article 3B Toolkit described in Appendix 3B, or on a curriculum certified by a recognized procurement professional development organization as covering the subject areas specified in this subsection.</w:t>
      </w:r>
    </w:p>
    <w:p w14:paraId="63BED04F" w14:textId="77777777" w:rsidR="00495A62" w:rsidRDefault="00000000">
      <w:pPr>
        <w:spacing w:before="200" w:after="80"/>
        <w:ind w:left="720"/>
      </w:pPr>
      <w:r>
        <w:rPr>
          <w:b/>
          <w:bCs/>
          <w:caps/>
          <w:color w:val="2E4057"/>
          <w:sz w:val="22"/>
          <w:szCs w:val="22"/>
        </w:rPr>
        <w:t>OFFICIAL COMMENT</w:t>
      </w:r>
    </w:p>
    <w:p w14:paraId="2A4A5A04" w14:textId="77777777" w:rsidR="00495A62" w:rsidRDefault="00000000">
      <w:pPr>
        <w:spacing w:before="140" w:after="60"/>
        <w:ind w:left="720"/>
      </w:pPr>
      <w:r>
        <w:rPr>
          <w:b/>
          <w:bCs/>
          <w:color w:val="2E4057"/>
          <w:sz w:val="22"/>
          <w:szCs w:val="22"/>
        </w:rPr>
        <w:t>Purpose</w:t>
      </w:r>
    </w:p>
    <w:p w14:paraId="016C13D7" w14:textId="77777777" w:rsidR="00495A62" w:rsidRDefault="00000000">
      <w:pPr>
        <w:spacing w:before="100" w:after="100" w:line="260" w:lineRule="auto"/>
        <w:ind w:left="720" w:right="360"/>
        <w:jc w:val="both"/>
      </w:pPr>
      <w:r>
        <w:rPr>
          <w:i/>
          <w:iCs/>
          <w:color w:val="333333"/>
          <w:sz w:val="22"/>
          <w:szCs w:val="22"/>
        </w:rPr>
        <w:t>PoC Procurement under Article 3B requires a set of competencies that differ materially from those needed for conventional procurement methods. Procurement officers who are skilled in competitive sealed proposal administration may lack experience with outcome-based specification development, multi-vendor phased evaluation, pre-commercial procurement IP frameworks, or the specific citizen data protection requirements that Article 3B imposes. The training requirement ensures that the officers responsible for administering Article 3B procurements have the knowledge needed to do so effectively, reducing the risk of procedural errors that invite protests and the risk of substantive failures in specification development, phase management, and contract administration.</w:t>
      </w:r>
    </w:p>
    <w:p w14:paraId="2A41BE0D" w14:textId="77777777" w:rsidR="00495A62" w:rsidRDefault="00000000">
      <w:pPr>
        <w:spacing w:before="140" w:after="60"/>
        <w:ind w:left="720"/>
      </w:pPr>
      <w:r>
        <w:rPr>
          <w:b/>
          <w:bCs/>
          <w:color w:val="2E4057"/>
          <w:sz w:val="22"/>
          <w:szCs w:val="22"/>
        </w:rPr>
        <w:t xml:space="preserve">Relationship </w:t>
      </w:r>
      <w:proofErr w:type="gramStart"/>
      <w:r>
        <w:rPr>
          <w:b/>
          <w:bCs/>
          <w:color w:val="2E4057"/>
          <w:sz w:val="22"/>
          <w:szCs w:val="22"/>
        </w:rPr>
        <w:t>to</w:t>
      </w:r>
      <w:proofErr w:type="gramEnd"/>
      <w:r>
        <w:rPr>
          <w:b/>
          <w:bCs/>
          <w:color w:val="2E4057"/>
          <w:sz w:val="22"/>
          <w:szCs w:val="22"/>
        </w:rPr>
        <w:t xml:space="preserve"> Existing Certification</w:t>
      </w:r>
    </w:p>
    <w:p w14:paraId="3724D33D" w14:textId="77777777" w:rsidR="00495A62" w:rsidRDefault="00000000">
      <w:pPr>
        <w:spacing w:before="100" w:after="100" w:line="260" w:lineRule="auto"/>
        <w:ind w:left="720" w:right="360"/>
        <w:jc w:val="both"/>
      </w:pPr>
      <w:r>
        <w:rPr>
          <w:i/>
          <w:iCs/>
          <w:color w:val="333333"/>
          <w:sz w:val="22"/>
          <w:szCs w:val="22"/>
        </w:rPr>
        <w:t xml:space="preserve">The sixteen-hour training requirement is designed to complement rather than replace existing procurement certification programs such as the NIGP Certified Procurement Professional and the Universal Public Procurement Certification Council's Certified Public Procurement Officer designations. The recommendation, developed in Part VIII of this working paper, is that NIGP and NASPO develop an </w:t>
      </w:r>
      <w:proofErr w:type="gramStart"/>
      <w:r>
        <w:rPr>
          <w:i/>
          <w:iCs/>
          <w:color w:val="333333"/>
          <w:sz w:val="22"/>
          <w:szCs w:val="22"/>
        </w:rPr>
        <w:t>Article</w:t>
      </w:r>
      <w:proofErr w:type="gramEnd"/>
      <w:r>
        <w:rPr>
          <w:i/>
          <w:iCs/>
          <w:color w:val="333333"/>
          <w:sz w:val="22"/>
          <w:szCs w:val="22"/>
        </w:rPr>
        <w:t xml:space="preserve"> 3B endorsement module that can be added to existing CPPO and CPPB certification tracks, making the training requirement achievable within the professional development infrastructure that procurement officers already navigate. </w:t>
      </w:r>
      <w:proofErr w:type="gramStart"/>
      <w:r>
        <w:rPr>
          <w:i/>
          <w:iCs/>
          <w:color w:val="333333"/>
          <w:sz w:val="22"/>
          <w:szCs w:val="22"/>
        </w:rPr>
        <w:t>The ABA's</w:t>
      </w:r>
      <w:proofErr w:type="gramEnd"/>
      <w:r>
        <w:rPr>
          <w:i/>
          <w:iCs/>
          <w:color w:val="333333"/>
          <w:sz w:val="22"/>
          <w:szCs w:val="22"/>
        </w:rPr>
        <w:t xml:space="preserve"> appropriate role is developing the model curriculum and toolkit content, not administering certification.</w:t>
      </w:r>
    </w:p>
    <w:p w14:paraId="1AC89A53" w14:textId="77777777" w:rsidR="00495A62" w:rsidRDefault="00000000">
      <w:pPr>
        <w:spacing w:before="140" w:after="60"/>
        <w:ind w:left="720"/>
      </w:pPr>
      <w:r>
        <w:rPr>
          <w:b/>
          <w:bCs/>
          <w:color w:val="2E4057"/>
          <w:sz w:val="22"/>
          <w:szCs w:val="22"/>
        </w:rPr>
        <w:t>Problems Precluded</w:t>
      </w:r>
    </w:p>
    <w:p w14:paraId="1CD52524" w14:textId="77777777" w:rsidR="00495A62" w:rsidRDefault="00000000">
      <w:pPr>
        <w:spacing w:before="100" w:after="100" w:line="260" w:lineRule="auto"/>
        <w:ind w:left="720" w:right="360"/>
        <w:jc w:val="both"/>
      </w:pPr>
      <w:r>
        <w:rPr>
          <w:i/>
          <w:iCs/>
          <w:color w:val="333333"/>
          <w:sz w:val="22"/>
          <w:szCs w:val="22"/>
        </w:rPr>
        <w:t xml:space="preserve">DHS PIL research documented that contracting officers who had completed structured training in innovative procurement methods were sixty percent less likely to produce specifications that generated sustainable protests. The training requirement, by ensuring that designated Innovation Procurement Officers have completed structured instruction before administering Article 3B procurements, creates a documented </w:t>
      </w:r>
      <w:r>
        <w:rPr>
          <w:i/>
          <w:iCs/>
          <w:color w:val="333333"/>
          <w:sz w:val="22"/>
          <w:szCs w:val="22"/>
        </w:rPr>
        <w:lastRenderedPageBreak/>
        <w:t>competency record that supports the government's defense of its procedural choices when those choices are challenged. An officer who has completed certified training in outcome-based specification development is in a materially stronger position to defend an outcome-based specification against a vagueness protest than one who adopted the approach without formal preparation.</w:t>
      </w:r>
    </w:p>
    <w:p w14:paraId="791491B4" w14:textId="77777777" w:rsidR="00CC298D" w:rsidRDefault="00CC298D">
      <w:pPr>
        <w:rPr>
          <w:b/>
          <w:bCs/>
          <w:caps/>
          <w:color w:val="2E4057"/>
          <w:sz w:val="28"/>
          <w:szCs w:val="28"/>
        </w:rPr>
      </w:pPr>
      <w:r>
        <w:rPr>
          <w:b/>
          <w:bCs/>
          <w:caps/>
          <w:color w:val="2E4057"/>
          <w:sz w:val="28"/>
          <w:szCs w:val="28"/>
        </w:rPr>
        <w:br w:type="page"/>
      </w:r>
    </w:p>
    <w:p w14:paraId="37FE9864" w14:textId="43A3AC44"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VI: Intellectual Property Framework — Extended Analysis</w:t>
      </w:r>
    </w:p>
    <w:p w14:paraId="3D2904A7" w14:textId="77777777" w:rsidR="00495A62" w:rsidRDefault="00000000">
      <w:pPr>
        <w:spacing w:before="120" w:after="120" w:line="280" w:lineRule="auto"/>
        <w:jc w:val="both"/>
      </w:pPr>
      <w:r>
        <w:t>Section 3B-206 establishes the statutory framework for intellectual property rights in PoC Procurement. This Part provides the extended analytical context for that framework, addressing the policy considerations that informed the specific choices made in the statutory language, the relationship between the Article 3B IP framework and existing state and federal IP law, and the practical implications of the safe harbor modification provision.</w:t>
      </w:r>
    </w:p>
    <w:p w14:paraId="69A449B7" w14:textId="77777777" w:rsidR="00495A62" w:rsidRDefault="00000000">
      <w:pPr>
        <w:pStyle w:val="Heading2"/>
        <w:spacing w:before="360" w:after="140"/>
      </w:pPr>
      <w:r>
        <w:t>A. The Policy Architecture of Vendor-Retains Foreground IP</w:t>
      </w:r>
    </w:p>
    <w:p w14:paraId="5EACE385" w14:textId="77777777" w:rsidR="00495A62" w:rsidRDefault="00000000">
      <w:pPr>
        <w:spacing w:before="120" w:after="120" w:line="280" w:lineRule="auto"/>
        <w:jc w:val="both"/>
      </w:pPr>
      <w:r>
        <w:t>The decision to adopt the vendor-retains-foreground-IP model rather than a government-ownership model reflects a considered policy judgment grounded in the specific dynamics of genuinely novel technology procurement. Three distinct considerations support this choice.</w:t>
      </w:r>
    </w:p>
    <w:p w14:paraId="29A150B1" w14:textId="77777777" w:rsidR="00495A62" w:rsidRDefault="00000000">
      <w:pPr>
        <w:spacing w:before="120" w:after="120" w:line="280" w:lineRule="auto"/>
        <w:jc w:val="both"/>
      </w:pPr>
      <w:r>
        <w:t xml:space="preserve">The first is participation incentive. Genuinely novel technologies are, by definition, not yet commercially available. The vendors capable of developing them are typically early-stage companies or research-intensive organizations for whom intellectual property is the primary asset. A government-ownership IP model would require these vendors to contribute their most </w:t>
      </w:r>
      <w:proofErr w:type="gramStart"/>
      <w:r>
        <w:t>valuable asset</w:t>
      </w:r>
      <w:proofErr w:type="gramEnd"/>
      <w:r>
        <w:t xml:space="preserve"> to the public domain as a condition of government contract participation, a requirement that would deter precisely the vendors whose participation the PoC framework is designed to attract. The EU PCP framework's decade-long experience confirms this: member states that piloted government-ownership terms for PCP contracts consistently attracted fewer and less technically capable bidders than those using the vendor-retains model (European Commission, Pre-Commercial Procurement: An Innovative Procurement Approach, 2011; EC Impact Assessment Studies on PCP Implementation, 2017).</w:t>
      </w:r>
    </w:p>
    <w:p w14:paraId="2CA154F1" w14:textId="77777777" w:rsidR="00495A62" w:rsidRDefault="00000000">
      <w:pPr>
        <w:spacing w:before="120" w:after="120" w:line="280" w:lineRule="auto"/>
        <w:jc w:val="both"/>
      </w:pPr>
      <w:r>
        <w:t xml:space="preserve">The second is market development incentive. When a vendor retains ownership of the technology developed during a PoC and can commercialize it beyond the initial government customer, the government's per-unit cost in the subsequent production procurement is reduced because the vendor can amortize development costs across a broader market. This is the Bayh-Dole Act's foundational insight (35 U.S.C. §§ 200-212) applied to state and local procurement: government-funded R&amp;D that remains in private hands and reaches commercial scale benefits the public more broadly than government-owned technology that sits in a government repository. The government's non-exclusive license preserves full access to </w:t>
      </w:r>
      <w:proofErr w:type="gramStart"/>
      <w:r>
        <w:t>the technology</w:t>
      </w:r>
      <w:proofErr w:type="gramEnd"/>
      <w:r>
        <w:t xml:space="preserve"> for governmental purposes without foreclosing the commercialization that drives down costs over time.</w:t>
      </w:r>
    </w:p>
    <w:p w14:paraId="444475B2" w14:textId="77777777" w:rsidR="00495A62" w:rsidRDefault="00000000">
      <w:pPr>
        <w:spacing w:before="120" w:after="120" w:line="280" w:lineRule="auto"/>
        <w:jc w:val="both"/>
      </w:pPr>
      <w:r>
        <w:lastRenderedPageBreak/>
        <w:t>The third is competition preservation. A government-ownership model creates a paradox: the government owns the technology developed in the PoC but cannot effectively manage or commercialize it, while the vendor that developed it is prohibited from using it in the production competition unless the government licenses it back. This typically results in either de facto vendor lock-in, because no other vendor can build on the PoC work without a government license that may not be available, or in a production competition that cannot attract capable bidders because the technology baseline is inaccessible to them. The vendor-retains model with the mandatory interoperability requirement of Section 3B-206(d) avoids both outcomes: the vendor retains ownership and can compete in production, and other vendors can also compete because the interfaces and APIs are documented and licensed.</w:t>
      </w:r>
    </w:p>
    <w:p w14:paraId="116406D5" w14:textId="77777777" w:rsidR="00495A62" w:rsidRDefault="00000000">
      <w:pPr>
        <w:pStyle w:val="Heading2"/>
        <w:spacing w:before="360" w:after="140"/>
      </w:pPr>
      <w:r>
        <w:t>B. The Citizen Data Carve-Out as Non-Negotiable Baseline</w:t>
      </w:r>
    </w:p>
    <w:p w14:paraId="4566D2B3" w14:textId="77777777" w:rsidR="00495A62" w:rsidRDefault="00000000">
      <w:pPr>
        <w:spacing w:before="120" w:after="120" w:line="280" w:lineRule="auto"/>
        <w:jc w:val="both"/>
      </w:pPr>
      <w:r>
        <w:t xml:space="preserve">Section 3B-206(c) designates the Citizen Data carve-out as non-negotiable, meaning it cannot be modified even under the safe harbor provision of subsection (f). This designation reflects the qualitative difference between Citizen Data and other categories of information generated during </w:t>
      </w:r>
      <w:proofErr w:type="gramStart"/>
      <w:r>
        <w:t>a PoC</w:t>
      </w:r>
      <w:proofErr w:type="gramEnd"/>
      <w:r>
        <w:t xml:space="preserve"> Procurement.</w:t>
      </w:r>
    </w:p>
    <w:p w14:paraId="14ADF525" w14:textId="77777777" w:rsidR="00495A62" w:rsidRDefault="00000000">
      <w:pPr>
        <w:spacing w:before="120" w:after="120" w:line="280" w:lineRule="auto"/>
        <w:jc w:val="both"/>
      </w:pPr>
      <w:r>
        <w:t xml:space="preserve">Citizen Data is not the </w:t>
      </w:r>
      <w:proofErr w:type="gramStart"/>
      <w:r>
        <w:t>vendor's</w:t>
      </w:r>
      <w:proofErr w:type="gramEnd"/>
      <w:r>
        <w:t xml:space="preserve"> to own, license, or commercialize regardless of the IP framework governing the vendor's creative work, because it was not generated by the vendor's creative effort. It is the record of citizens' interactions with their government, produced under circumstances of legal compulsion and held by the government in a trustee capacity. The government cannot alienate this trusteeship through a procurement transaction any more than it can alienate its constitutional obligations through a contract. A provision in a PoC contract purporting to grant </w:t>
      </w:r>
      <w:proofErr w:type="gramStart"/>
      <w:r>
        <w:t>a vendor</w:t>
      </w:r>
      <w:proofErr w:type="gramEnd"/>
      <w:r>
        <w:t xml:space="preserve"> rights in Citizen Data beyond the specific scope of work authorized would be void as contrary to the government's pre-existing obligations, independent of anything in Article 3B. The non-negotiable designation in Section 3B-206(f) simply makes this pre-existing constraint explicit and ensures that procurement officers understand it cannot be traded away in IP negotiations even when other terms are being modified.</w:t>
      </w:r>
    </w:p>
    <w:p w14:paraId="70A2574B" w14:textId="77777777" w:rsidR="00495A62" w:rsidRDefault="00000000">
      <w:pPr>
        <w:spacing w:before="120" w:after="120" w:line="280" w:lineRule="auto"/>
        <w:jc w:val="both"/>
      </w:pPr>
      <w:r>
        <w:t>Procuring Governments should note that the thirty-day return or destruction requirement in Section 3B-206(c)(3) is a floor, not a ceiling. Applicable state data protection statutes may impose shorter timelines for specific categories of Citizen Data, including health information, financial records, or juvenile records. Where state law imposes a shorter timeline, it controls, and the PoC contract should reflect the shorter requirement.</w:t>
      </w:r>
    </w:p>
    <w:p w14:paraId="1EFBC3B2" w14:textId="77777777" w:rsidR="00495A62" w:rsidRDefault="00000000">
      <w:pPr>
        <w:pStyle w:val="Heading2"/>
        <w:spacing w:before="360" w:after="140"/>
      </w:pPr>
      <w:r>
        <w:t>C. Background IP and Vendor Risk Allocation</w:t>
      </w:r>
    </w:p>
    <w:p w14:paraId="3B8F496C" w14:textId="77777777" w:rsidR="00495A62" w:rsidRDefault="00000000">
      <w:pPr>
        <w:spacing w:before="120" w:after="120" w:line="280" w:lineRule="auto"/>
        <w:jc w:val="both"/>
      </w:pPr>
      <w:r>
        <w:t>Section 3B-206(e</w:t>
      </w:r>
      <w:proofErr w:type="gramStart"/>
      <w:r>
        <w:t>)'s</w:t>
      </w:r>
      <w:proofErr w:type="gramEnd"/>
      <w:r>
        <w:t xml:space="preserve"> protection of vendor Background IP addresses a concern that has made some capable vendors reluctant to participate in government technology </w:t>
      </w:r>
      <w:r>
        <w:lastRenderedPageBreak/>
        <w:t>development contracts: the risk that government contract participation will compromise the intellectual property they brought to the engagement. The Background IP protection ensures that a vendor's pre-existing technology platform, code base, algorithms, or proprietary methods are not affected by the PoC contract and cannot be claimed by the government as a byproduct of contract performance.</w:t>
      </w:r>
    </w:p>
    <w:p w14:paraId="03009233" w14:textId="77777777" w:rsidR="00495A62" w:rsidRDefault="00000000">
      <w:pPr>
        <w:spacing w:before="120" w:after="120" w:line="280" w:lineRule="auto"/>
        <w:jc w:val="both"/>
      </w:pPr>
      <w:r>
        <w:t>Procuring Governments should be aware that the boundary between Background IP and Foreground IP is frequently contested in technology development contracts. The prudent approach, consistent with practice under SBIR contracts and EU PCP agreements, is to require vendors to identify their Background IP in writing at the commencement of each phase and to document any Background IP that will be incorporated into phase deliverables. This creates a clear record that prevents later disputes about whether a particular element of a phase deliverable was pre-existing vendor technology or government-funded development.</w:t>
      </w:r>
    </w:p>
    <w:p w14:paraId="47F55976" w14:textId="77777777" w:rsidR="00495A62" w:rsidRDefault="00000000">
      <w:pPr>
        <w:pStyle w:val="Heading2"/>
        <w:spacing w:before="360" w:after="140"/>
      </w:pPr>
      <w:r>
        <w:t>D. The Safe Harbor Modification Framework in Practice</w:t>
      </w:r>
    </w:p>
    <w:p w14:paraId="2A75E0C8" w14:textId="77777777" w:rsidR="00495A62" w:rsidRDefault="00000000">
      <w:pPr>
        <w:spacing w:before="120" w:after="120" w:line="280" w:lineRule="auto"/>
        <w:jc w:val="both"/>
      </w:pPr>
      <w:r>
        <w:t>Section 3B-206(f) permits Procuring Governments to negotiate modified IP terms in individual PoC contracts or Consortium MOUs, subject to the constraints that modifications be documented before solicitation issuance, that the Citizen Data carve-out remain non-negotiable, and that the interoperability requirement be preserved. This framework recognizes that the default vendor-retains model, while optimal for most PoC contexts, will not serve every Procuring Government's needs in every situation.</w:t>
      </w:r>
    </w:p>
    <w:p w14:paraId="073D2C21" w14:textId="77777777" w:rsidR="00495A62" w:rsidRDefault="00000000">
      <w:pPr>
        <w:spacing w:before="120" w:after="120" w:line="280" w:lineRule="auto"/>
        <w:jc w:val="both"/>
      </w:pPr>
      <w:r>
        <w:t xml:space="preserve">Two categories of procurement are most likely to warrant safe harbor modifications. First, procurements involving technologies with significant public safety, national security, or public health implications, where the government's interest in controlling the technology's further development and commercialization may outweigh the participation incentive benefits of the vendor-retains model. Second, procurements where the government </w:t>
      </w:r>
      <w:proofErr w:type="gramStart"/>
      <w:r>
        <w:t>is providing</w:t>
      </w:r>
      <w:proofErr w:type="gramEnd"/>
      <w:r>
        <w:t xml:space="preserve"> a substantial portion of the total investment required to develop the technology, such that the vendor-retains model would allow a private party to capture the full commercial value of a technology developed predominantly at public expense. In both cases, the modification should be documented with a written analysis of why the default framework is insufficient and how the modified terms serve the public interest better than the default.</w:t>
      </w:r>
    </w:p>
    <w:p w14:paraId="50D2AECD" w14:textId="77777777" w:rsidR="00495A62" w:rsidRDefault="00000000">
      <w:pPr>
        <w:spacing w:before="120" w:after="120" w:line="280" w:lineRule="auto"/>
        <w:jc w:val="both"/>
      </w:pPr>
      <w:r>
        <w:t>Procuring Governments considering safe harbor modifications should consult with state legal counsel regarding the interaction between modified IP terms and applicable state laws governing government-owned intellectual property, technology transfer from government to private entities, and sovereign immunity in IP disputes. These interactions vary significantly across states and may affect both the legal validity of specific modification terms and the practical enforceability of the resulting rights.</w:t>
      </w:r>
    </w:p>
    <w:p w14:paraId="55F770CB" w14:textId="77777777" w:rsidR="00CC298D" w:rsidRDefault="00CC298D">
      <w:pPr>
        <w:rPr>
          <w:b/>
          <w:bCs/>
          <w:caps/>
          <w:color w:val="2E4057"/>
          <w:sz w:val="28"/>
          <w:szCs w:val="28"/>
        </w:rPr>
      </w:pPr>
      <w:r>
        <w:rPr>
          <w:b/>
          <w:bCs/>
          <w:caps/>
          <w:color w:val="2E4057"/>
          <w:sz w:val="28"/>
          <w:szCs w:val="28"/>
        </w:rPr>
        <w:lastRenderedPageBreak/>
        <w:br w:type="page"/>
      </w:r>
    </w:p>
    <w:p w14:paraId="3D88CCE2" w14:textId="2526A0E6"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VII: Appendix 3B — The Article 3B Consortium Toolkit</w:t>
      </w:r>
    </w:p>
    <w:p w14:paraId="4428CED8" w14:textId="77777777" w:rsidR="00495A62" w:rsidRDefault="00000000">
      <w:pPr>
        <w:spacing w:before="120" w:after="120" w:line="280" w:lineRule="auto"/>
        <w:jc w:val="both"/>
      </w:pPr>
      <w:r>
        <w:t>Article 3B authorizes and recommends a Consortium Toolkit, designated as Appendix 3B to the Model Procurement Code, to support state and local governments in implementing PoC Procurement under the new Article. This Part describes the purpose, content, and governance of the Toolkit. The Toolkit itself is a separate document developed concurrently with this working paper; this Part establishes what it must contain and why each component is necessary.</w:t>
      </w:r>
    </w:p>
    <w:p w14:paraId="6C941F04" w14:textId="77777777" w:rsidR="00495A62" w:rsidRDefault="00000000">
      <w:pPr>
        <w:spacing w:before="120" w:after="120" w:line="280" w:lineRule="auto"/>
        <w:jc w:val="both"/>
      </w:pPr>
      <w:r>
        <w:t>The Toolkit serves three distinct functions. First, it reduces the transaction costs of implementing Article 3B by providing standard-form documents that Procuring Governments can adapt rather than draft from scratch. Second, it promotes uniformity in implementation across adopting states, which is important both for legal predictability and for the functioning of Consortium Procurements where multiple states must operate under compatible frameworks. Third, it provides an institutional learning resource that captures and transmits best practices as the framework accumulates operational experience.</w:t>
      </w:r>
    </w:p>
    <w:p w14:paraId="0976C189" w14:textId="77777777" w:rsidR="00495A62" w:rsidRDefault="00000000">
      <w:pPr>
        <w:pStyle w:val="Heading2"/>
        <w:spacing w:before="360" w:after="140"/>
      </w:pPr>
      <w:r>
        <w:t>A. Governance MOU Template</w:t>
      </w:r>
    </w:p>
    <w:p w14:paraId="2BEB5998"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1: Consortium Memorandum of Understanding Template</w:t>
      </w:r>
    </w:p>
    <w:p w14:paraId="7ED8F83A" w14:textId="77777777" w:rsidR="00495A62" w:rsidRDefault="00000000">
      <w:pPr>
        <w:spacing w:before="120" w:after="120" w:line="280" w:lineRule="auto"/>
        <w:jc w:val="both"/>
      </w:pPr>
      <w:r>
        <w:t>The standard-form Consortium MOU template provides a complete, legally reviewed document covering all elements required by Section 3B-205(b). The template is organized in modular sections that can be adopted as written or modified to reflect the specific needs of the participating governments. Key features include:</w:t>
      </w:r>
    </w:p>
    <w:p w14:paraId="64B7CB5E" w14:textId="77777777" w:rsidR="00495A62" w:rsidRDefault="00000000">
      <w:pPr>
        <w:spacing w:before="120" w:after="120" w:line="280" w:lineRule="auto"/>
        <w:jc w:val="both"/>
      </w:pPr>
      <w:r>
        <w:t>A lead buyer designation and authority section that clearly delineates the scope of the Lead Buyer's authority to act on behalf of the Consortium in procurement, contract, and administrative matters, and the limitations on that authority that require full Consortium approval. The authority delineation is the most frequent source of Consortium dispute in cooperative procurement arrangements and the section most likely to require legal review by each member's counsel.</w:t>
      </w:r>
    </w:p>
    <w:p w14:paraId="7A01D08D" w14:textId="77777777" w:rsidR="00495A62" w:rsidRDefault="00000000">
      <w:pPr>
        <w:spacing w:before="120" w:after="120" w:line="280" w:lineRule="auto"/>
        <w:jc w:val="both"/>
      </w:pPr>
      <w:r>
        <w:t>A cost-sharing and payment mechanics section that provides three standard cost-sharing formulas, equal shares, population-weighted shares, and anticipated-use-</w:t>
      </w:r>
      <w:proofErr w:type="gramStart"/>
      <w:r>
        <w:t>weighted</w:t>
      </w:r>
      <w:proofErr w:type="gramEnd"/>
      <w:r>
        <w:t xml:space="preserve"> shares, with guidance on when each is appropriate and how to implement the milestone payment structure required by Section 3B-203.</w:t>
      </w:r>
    </w:p>
    <w:p w14:paraId="32AAB7A5" w14:textId="77777777" w:rsidR="00495A62" w:rsidRDefault="00000000">
      <w:pPr>
        <w:spacing w:before="120" w:after="120" w:line="280" w:lineRule="auto"/>
        <w:jc w:val="both"/>
      </w:pPr>
      <w:r>
        <w:t>A decision-making protocol section that implements the default weighted majority rule of Section 3B-205(b)(3) and provides optional provisions for supermajority requirements on defined categories of decisions, including Phase 3 authorization, contract termination, and IP modification.</w:t>
      </w:r>
    </w:p>
    <w:p w14:paraId="5A5409AF" w14:textId="77777777" w:rsidR="00495A62" w:rsidRDefault="00000000">
      <w:pPr>
        <w:spacing w:before="120" w:after="120" w:line="280" w:lineRule="auto"/>
        <w:jc w:val="both"/>
      </w:pPr>
      <w:r>
        <w:lastRenderedPageBreak/>
        <w:t>An intellectual property section that implements the Section 3B-206 framework for Consortium contexts, addressing the specific questions that arise when multiple governments share rights to PoC Artifacts, including how government licenses are extended to member jurisdictions, how Citizen Data return and destruction obligations are coordinated across members, and how the interoperability requirements are managed when different members may deploy different production systems.</w:t>
      </w:r>
    </w:p>
    <w:p w14:paraId="6504691F" w14:textId="77777777" w:rsidR="00495A62" w:rsidRDefault="00000000">
      <w:pPr>
        <w:spacing w:before="120" w:after="120" w:line="280" w:lineRule="auto"/>
        <w:jc w:val="both"/>
      </w:pPr>
      <w:r>
        <w:t>An opt-in and opt-out mechanics section that implements the member opt-in architecture with standard notice periods, data rights procedures upon opt-out, and financial settlement terms for members who withdraw before Phase completion.</w:t>
      </w:r>
    </w:p>
    <w:p w14:paraId="7541AF56" w14:textId="77777777" w:rsidR="00495A62" w:rsidRDefault="00000000">
      <w:pPr>
        <w:pStyle w:val="Heading2"/>
        <w:spacing w:before="360" w:after="140"/>
      </w:pPr>
      <w:r>
        <w:t>B. Solicitation and Evaluation Templates</w:t>
      </w:r>
    </w:p>
    <w:p w14:paraId="73F077B7"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2: Phase 1 Solicitation Template</w:t>
      </w:r>
    </w:p>
    <w:p w14:paraId="6B2DA2E3" w14:textId="77777777" w:rsidR="00495A62" w:rsidRDefault="00000000">
      <w:pPr>
        <w:spacing w:before="120" w:after="120" w:line="280" w:lineRule="auto"/>
        <w:jc w:val="both"/>
      </w:pPr>
      <w:r>
        <w:t xml:space="preserve">The Phase 1 solicitation template provides a complete Request for Proposals structure for Phase 1 Solution Design solicitations under Section 3B-203(b). The template implements the outcome-based specification requirements of Section 3B-202 and includes: a problem statement section with guidance on how to describe functional needs without technical prescription; a market consultation summary incorporation section that integrates the findings from the pre-solicitation Open Market Consultation into the solicitation record; evaluation criteria and weighting structures calibrated to Phase 1 assessment of conceptual design quality, technical feasibility, vendor qualifications, and risk identification; and the pre-published Phase 1 to Phase 2 </w:t>
      </w:r>
      <w:proofErr w:type="spellStart"/>
      <w:r>
        <w:t>downselect</w:t>
      </w:r>
      <w:proofErr w:type="spellEnd"/>
      <w:r>
        <w:t xml:space="preserve"> criteria required by Section 3B-203(b)(1).</w:t>
      </w:r>
    </w:p>
    <w:p w14:paraId="50CEBE99"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3: Phase 2 and Phase 3 Solicitation Templates</w:t>
      </w:r>
    </w:p>
    <w:p w14:paraId="2672CF39" w14:textId="77777777" w:rsidR="00495A62" w:rsidRDefault="00000000">
      <w:pPr>
        <w:spacing w:before="120" w:after="120" w:line="280" w:lineRule="auto"/>
        <w:jc w:val="both"/>
      </w:pPr>
      <w:r>
        <w:t>Separate templates are provided for Phase 2 Prototyping and Phase 3 Piloting solicitations, reflecting the different deliverable expectations, evaluation criteria, and security requirements applicable at each phase. The Phase 3 template includes the complete four-part live system access authorization package required by Section 3B-203(d)(3): the security assessment form, the service continuity plan template, the citizen notification template, and the subcontractor flow-down clause execution checklist.</w:t>
      </w:r>
    </w:p>
    <w:p w14:paraId="1D8476CE"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4: Evaluation Scorecard Templates</w:t>
      </w:r>
    </w:p>
    <w:p w14:paraId="7DCE800B" w14:textId="77777777" w:rsidR="00495A62" w:rsidRDefault="00000000">
      <w:pPr>
        <w:spacing w:before="120" w:after="120" w:line="280" w:lineRule="auto"/>
        <w:jc w:val="both"/>
      </w:pPr>
      <w:r>
        <w:t xml:space="preserve">Phase-specific evaluation scorecard templates provide structured frameworks for assessing vendor deliverables against pre-published acceptance criteria at each Phase Gate Review. The scorecards are designed to produce a documented evaluation record that supports protest defense under Section 3B-308(c) and provides the factual foundation for the Phase Gate Review Record required by Section 3B-203(e)(3). </w:t>
      </w:r>
      <w:r>
        <w:lastRenderedPageBreak/>
        <w:t xml:space="preserve">Scorecards include both quantitative scoring dimensions and qualitative assessment fields, with guidance on how to </w:t>
      </w:r>
      <w:proofErr w:type="gramStart"/>
      <w:r>
        <w:t>weight</w:t>
      </w:r>
      <w:proofErr w:type="gramEnd"/>
      <w:r>
        <w:t xml:space="preserve"> each dimension consistently with the pre-published criteria.</w:t>
      </w:r>
    </w:p>
    <w:p w14:paraId="76132393" w14:textId="77777777" w:rsidR="00495A62" w:rsidRDefault="00000000">
      <w:pPr>
        <w:pStyle w:val="Heading2"/>
        <w:spacing w:before="360" w:after="140"/>
      </w:pPr>
      <w:r>
        <w:t>C. Contract Templates</w:t>
      </w:r>
    </w:p>
    <w:p w14:paraId="5748A8B9"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5: PoC Contract Template with Flow-Down Clauses</w:t>
      </w:r>
    </w:p>
    <w:p w14:paraId="197DB7D2" w14:textId="77777777" w:rsidR="00495A62" w:rsidRDefault="00000000">
      <w:pPr>
        <w:spacing w:before="120" w:after="120" w:line="280" w:lineRule="auto"/>
        <w:jc w:val="both"/>
      </w:pPr>
      <w:r>
        <w:t>The standard PoC contract template implements the full Article 3B contractual framework, including: the phase-structured payment terms with milestone escrow provisions under Section 3B-203(f); the IP framework of Section 3B-206 with the Citizen Data carve-out and interoperability requirements; the mandatory flow-down clause package of Section 3B-207 with the government named as express third-party beneficiary; the Right of First Negotiation provision for production procurement transition under Section 3B-309(b); and standard representations and warranties regarding subcontractor qualifications, security certifications, and data handling capabilities. The flow-down clause package is provided as a separate exhibit that can be incorporated by reference into subcontracts, with instructions for prime contractors on how to ensure proper execution by each subcontractor performing Core Technical Work.</w:t>
      </w:r>
    </w:p>
    <w:p w14:paraId="0701BB60"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6: Independent Technical Monitor Engagement Template</w:t>
      </w:r>
    </w:p>
    <w:p w14:paraId="687DFB4F" w14:textId="77777777" w:rsidR="00495A62" w:rsidRDefault="00000000">
      <w:pPr>
        <w:spacing w:before="120" w:after="120" w:line="280" w:lineRule="auto"/>
        <w:jc w:val="both"/>
      </w:pPr>
      <w:r>
        <w:t xml:space="preserve">A standard engagement template for Independent Technical Monitors designated under Section 3B-208, covering scope of services, independence requirements, deliverable obligations including the Phase Gate Review advisory assessment and post-PoC summary assessment, and compensation structures. The template addresses the specific independence requirements of Section 3B-208(b) and includes a </w:t>
      </w:r>
      <w:proofErr w:type="gramStart"/>
      <w:r>
        <w:t>conflict of interest</w:t>
      </w:r>
      <w:proofErr w:type="gramEnd"/>
      <w:r>
        <w:t xml:space="preserve"> certification form for Monitor candidates.</w:t>
      </w:r>
    </w:p>
    <w:p w14:paraId="441EF0B2" w14:textId="77777777" w:rsidR="00495A62" w:rsidRDefault="00000000">
      <w:pPr>
        <w:pStyle w:val="Heading2"/>
        <w:spacing w:before="360" w:after="140"/>
      </w:pPr>
      <w:r>
        <w:t>D. Financial Tools</w:t>
      </w:r>
    </w:p>
    <w:p w14:paraId="7204C530"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7: Cost-Sharing Calculator</w:t>
      </w:r>
    </w:p>
    <w:p w14:paraId="3C0DAB30" w14:textId="77777777" w:rsidR="00495A62" w:rsidRDefault="00000000">
      <w:pPr>
        <w:spacing w:before="120" w:after="120" w:line="280" w:lineRule="auto"/>
        <w:jc w:val="both"/>
      </w:pPr>
      <w:r>
        <w:t>An interactive cost-sharing calculator that assists Consortium members in modeling the financial implications of alternative cost-sharing formulas across the three-phase PoC structure, including: phase payment projections under different vendor participation scenarios; milestone escrow calculations and release schedules; opt-out financial settlement modeling; and production procurement transition cost projections under the three alternative mechanisms of Section 3B-309. The calculator is designed to support the MOU negotiation process by making the financial consequences of alternative governance choices transparent to all Consortium members before the MOU is executed.</w:t>
      </w:r>
    </w:p>
    <w:p w14:paraId="736D27E0"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lastRenderedPageBreak/>
        <w:t>Toolkit Component 8: PoC Value Cap Calculator</w:t>
      </w:r>
    </w:p>
    <w:p w14:paraId="3D9FBB9B" w14:textId="77777777" w:rsidR="00495A62" w:rsidRDefault="00000000">
      <w:pPr>
        <w:spacing w:before="120" w:after="120" w:line="280" w:lineRule="auto"/>
        <w:jc w:val="both"/>
      </w:pPr>
      <w:r>
        <w:t>A calculator that assists Procurement Officers in computing the applicable value limitation under Section 3B-308(a), including tools for documenting the good-faith estimate of anticipated production procurement value that establishes the ten percent cap baseline, and a waiver request template for use when the standard limitation would preclude meaningful Phase 3 MVP validation.</w:t>
      </w:r>
    </w:p>
    <w:p w14:paraId="33ECED45" w14:textId="77777777" w:rsidR="00495A62" w:rsidRDefault="00000000">
      <w:pPr>
        <w:pStyle w:val="Heading2"/>
        <w:spacing w:before="360" w:after="140"/>
      </w:pPr>
      <w:r>
        <w:t>E. Training and Knowledge Resources</w:t>
      </w:r>
    </w:p>
    <w:p w14:paraId="2357403E"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9: Article 3B Training Curriculum</w:t>
      </w:r>
    </w:p>
    <w:p w14:paraId="65484BA2" w14:textId="77777777" w:rsidR="00495A62" w:rsidRDefault="00000000">
      <w:pPr>
        <w:spacing w:before="120" w:after="120" w:line="280" w:lineRule="auto"/>
        <w:jc w:val="both"/>
      </w:pPr>
      <w:r>
        <w:t>A sixteen-hour training curriculum satisfying the professional development requirement of the proposed Section 15-104(d) amendment, organized in five modules: outcome-based specification development and the Open Market Consultation process; phased multi-vendor evaluation, Phase Gate Review conduct, and MVP acceptance; intellectual property frameworks for government PoC work; Citizen Data protection, the Citizen Impact Assessment, and live system access authorization; and subcontractor accountability, flow-down clause administration, and the Independent Technical Monitor role. The curriculum is designed for delivery in multiple formats, including in-person workshop, webinar, and self-directed online learning, and is structured to align with the subject area requirements for NIGP and NASPO certification endorsement.</w:t>
      </w:r>
    </w:p>
    <w:p w14:paraId="218A8023" w14:textId="77777777" w:rsidR="00495A62" w:rsidRDefault="00000000">
      <w:pPr>
        <w:pBdr>
          <w:top w:val="single" w:sz="4" w:space="2" w:color="CCCCCC"/>
          <w:left w:val="single" w:sz="8" w:space="4" w:color="8A6A2A"/>
          <w:bottom w:val="single" w:sz="4" w:space="2" w:color="CCCCCC"/>
        </w:pBdr>
        <w:spacing w:before="280" w:after="100"/>
        <w:ind w:left="360"/>
      </w:pPr>
      <w:r>
        <w:rPr>
          <w:b/>
          <w:bCs/>
          <w:color w:val="2E4057"/>
        </w:rPr>
        <w:t>Toolkit Component 10: Case Study Library</w:t>
      </w:r>
    </w:p>
    <w:p w14:paraId="596282F9" w14:textId="77777777" w:rsidR="00495A62" w:rsidRDefault="00000000">
      <w:pPr>
        <w:spacing w:before="120" w:after="120" w:line="280" w:lineRule="auto"/>
        <w:jc w:val="both"/>
      </w:pPr>
      <w:r>
        <w:t xml:space="preserve">A continuously updated library of documented case studies from PoC Procurement implementations, organized by technology domain, procurement scale, and outcome. Case studies document both successful and unsuccessful procurements, with specific attention to: how outcome-based specifications were developed and what alternative approaches they attracted; how Phase Gate Review </w:t>
      </w:r>
      <w:proofErr w:type="spellStart"/>
      <w:r>
        <w:t>downselect</w:t>
      </w:r>
      <w:proofErr w:type="spellEnd"/>
      <w:r>
        <w:t xml:space="preserve"> decisions were made and documented; how subcontractor performance issues were identified and addressed through flow-down clauses; and how the transition to production procurement was managed under each of the three Section 3B-309 mechanisms. The case study library is the primary vehicle through which the institutional learning generated by individual PoC Procurements is captured and made available to the broader community of adopting states.</w:t>
      </w:r>
    </w:p>
    <w:p w14:paraId="33477681" w14:textId="77777777" w:rsidR="00495A62" w:rsidRDefault="00000000">
      <w:pPr>
        <w:pStyle w:val="Heading2"/>
        <w:spacing w:before="360" w:after="140"/>
      </w:pPr>
      <w:r>
        <w:t>F. Toolkit Governance</w:t>
      </w:r>
    </w:p>
    <w:p w14:paraId="579A09DB" w14:textId="77777777" w:rsidR="00495A62" w:rsidRDefault="00000000">
      <w:pPr>
        <w:spacing w:before="120" w:after="120" w:line="280" w:lineRule="auto"/>
        <w:jc w:val="both"/>
      </w:pPr>
      <w:r>
        <w:t xml:space="preserve">The Toolkit is a living document intended to be updated as implementation experience accumulates. The ABA State and Local Government Procurement Law Committee is the appropriate governance body for Toolkit updates, with NASPO providing operational input </w:t>
      </w:r>
      <w:r>
        <w:lastRenderedPageBreak/>
        <w:t xml:space="preserve">on cooperative purchasing dimensions and </w:t>
      </w:r>
      <w:proofErr w:type="spellStart"/>
      <w:r>
        <w:t>StateRAMP</w:t>
      </w:r>
      <w:proofErr w:type="spellEnd"/>
      <w:r>
        <w:t xml:space="preserve"> providing input on the security authorization and subcontractor prequalification components. Updates should be versioned and dated, with a changelog maintained so that adopting states can identify what has changed between the version on which their implementation was based and the current version. Individual Toolkit components may be updated on different schedules as experience warrants, without requiring revision of the Article 3B statutory language.</w:t>
      </w:r>
    </w:p>
    <w:p w14:paraId="24FBD70D" w14:textId="77777777" w:rsidR="00CC298D" w:rsidRDefault="00CC298D">
      <w:pPr>
        <w:rPr>
          <w:b/>
          <w:bCs/>
          <w:caps/>
          <w:color w:val="2E4057"/>
          <w:sz w:val="28"/>
          <w:szCs w:val="28"/>
        </w:rPr>
      </w:pPr>
      <w:r>
        <w:rPr>
          <w:b/>
          <w:bCs/>
          <w:caps/>
          <w:color w:val="2E4057"/>
          <w:sz w:val="28"/>
          <w:szCs w:val="28"/>
        </w:rPr>
        <w:br w:type="page"/>
      </w:r>
    </w:p>
    <w:p w14:paraId="4B78EBFA" w14:textId="10AF0267" w:rsidR="00495A62" w:rsidRDefault="00000000">
      <w:pPr>
        <w:pBdr>
          <w:top w:val="single" w:sz="6" w:space="4" w:color="2E4057"/>
          <w:bottom w:val="single" w:sz="6" w:space="4" w:color="2E4057"/>
        </w:pBdr>
        <w:spacing w:before="480" w:after="480"/>
        <w:jc w:val="center"/>
      </w:pPr>
      <w:r>
        <w:rPr>
          <w:b/>
          <w:bCs/>
          <w:caps/>
          <w:color w:val="2E4057"/>
          <w:sz w:val="28"/>
          <w:szCs w:val="28"/>
        </w:rPr>
        <w:lastRenderedPageBreak/>
        <w:t>Part VIII: Implementation and Adoption Roadmap</w:t>
      </w:r>
    </w:p>
    <w:p w14:paraId="7901B25B" w14:textId="77777777" w:rsidR="00495A62" w:rsidRDefault="00000000">
      <w:pPr>
        <w:spacing w:before="120" w:after="120" w:line="280" w:lineRule="auto"/>
        <w:jc w:val="both"/>
      </w:pPr>
      <w:r>
        <w:t>A model code amendment is only as valuable as the adoption it achieves. The history of model procurement law includes numerous well-designed provisions that failed to achieve meaningful state adoption because the adoption strategy was inadequate, because implementation support was unavailable, or because the proposal arrived without the institutional endorsements that give adopting states confidence in the framework's durability. This Part addresses the strategy for achieving broad, consistent, and successful adoption of Article 3B.</w:t>
      </w:r>
    </w:p>
    <w:p w14:paraId="51243369" w14:textId="77777777" w:rsidR="00495A62" w:rsidRDefault="00000000">
      <w:pPr>
        <w:pStyle w:val="Heading2"/>
        <w:spacing w:before="360" w:after="140"/>
      </w:pPr>
      <w:r>
        <w:t>A. Adoption Strategy: Pilot Then Publish</w:t>
      </w:r>
    </w:p>
    <w:p w14:paraId="74D521C7" w14:textId="77777777" w:rsidR="00495A62" w:rsidRDefault="00000000">
      <w:pPr>
        <w:spacing w:before="120" w:after="120" w:line="280" w:lineRule="auto"/>
        <w:jc w:val="both"/>
      </w:pPr>
      <w:r>
        <w:t xml:space="preserve">The most reliable model for achieving broad adoption of model procurement code amendments is the pilot-then-publish strategy: a defined set of states implements the framework before broader adoption is sought, generates documented experience, and that experience becomes the primary argument for adoption by other states. This is the strategy that produced NASPO </w:t>
      </w:r>
      <w:proofErr w:type="spellStart"/>
      <w:r>
        <w:t>ValuePoint's</w:t>
      </w:r>
      <w:proofErr w:type="spellEnd"/>
      <w:r>
        <w:t xml:space="preserve"> broad acceptance, that drove adoption of performance-based contracting provisions across multiple state codes, and that the EU used to build member-state confidence in the PCP framework before making it the standard approach for pre-commercial procurement.</w:t>
      </w:r>
    </w:p>
    <w:p w14:paraId="2F7DB8F1" w14:textId="77777777" w:rsidR="00495A62" w:rsidRDefault="00000000">
      <w:pPr>
        <w:spacing w:before="120" w:after="120" w:line="280" w:lineRule="auto"/>
        <w:jc w:val="both"/>
      </w:pPr>
      <w:r>
        <w:t xml:space="preserve">For Article 3B, the recommended pilot structure </w:t>
      </w:r>
      <w:proofErr w:type="gramStart"/>
      <w:r>
        <w:t>is</w:t>
      </w:r>
      <w:proofErr w:type="gramEnd"/>
      <w:r>
        <w:t xml:space="preserve"> five states conducting Article 3B PoC Procurements, either individually or as Consortium members, within the first two years following ABA endorsement of the framework. Pilot states should represent geographic and demographic diversity, include at least one large state with significant technology procurement volume, and include at least two states that will participate in a Consortium Procurement to test the Section 3B-205 governance framework under real conditions. NASPO is the appropriate coordinating body for pilot state recruitment and support, given its existing relationships with state procurement offices and its established role in cooperative purchasing coordination.</w:t>
      </w:r>
    </w:p>
    <w:p w14:paraId="052CD3E4" w14:textId="77777777" w:rsidR="00495A62" w:rsidRDefault="00000000">
      <w:pPr>
        <w:spacing w:before="120" w:after="120" w:line="280" w:lineRule="auto"/>
        <w:jc w:val="both"/>
      </w:pPr>
      <w:r>
        <w:t>Pilot procurements should be documented in real time using the Post-PoC Report structure of Section 3B-308(e) and the case study format of Toolkit Component 10, and those documents should be made publicly available as they are completed rather than held for a consolidated report at the end of the pilot period. Real-time publication serves two purposes: it provides other states with current information about the framework's operational performance, and it creates a public record that demonstrates the framework's transparency commitments in practice rather than merely in theory.</w:t>
      </w:r>
    </w:p>
    <w:p w14:paraId="23C9793E" w14:textId="77777777" w:rsidR="00495A62" w:rsidRDefault="00000000">
      <w:pPr>
        <w:spacing w:before="120" w:after="120" w:line="280" w:lineRule="auto"/>
        <w:jc w:val="both"/>
      </w:pPr>
      <w:r>
        <w:t xml:space="preserve">The consortium dimension of the pilot strategy deserves specific emphasis. Pilot consortia that document their work comprehensively, including both successful phase </w:t>
      </w:r>
      <w:r>
        <w:lastRenderedPageBreak/>
        <w:t>transitions and honest accounts of failures and redirections, do not merely validate the Article 3B framework. They begin building the shared knowledge record that is the consortium mechanism's most durable public benefit. The case study library of Toolkit Component 10 is the repository for this record, and its value compounds over time: each documented consortium PoC reduces the information costs of the next, and the accumulated record of what has been tried, what has worked, and what has failed in genuinely novel technology procurement becomes a public good available to every adopting jurisdiction. Pilot states should understand that their documentation investment serves not only their own institutional learning but the entire community of states that will follow.</w:t>
      </w:r>
    </w:p>
    <w:p w14:paraId="033D07D5" w14:textId="77777777" w:rsidR="00495A62" w:rsidRDefault="00000000">
      <w:pPr>
        <w:pStyle w:val="Heading2"/>
        <w:spacing w:before="360" w:after="140"/>
      </w:pPr>
      <w:r>
        <w:t>B. Legislative Adoption Mechanics</w:t>
      </w:r>
    </w:p>
    <w:p w14:paraId="576234B8" w14:textId="77777777" w:rsidR="00495A62" w:rsidRDefault="00000000">
      <w:pPr>
        <w:spacing w:before="120" w:after="120" w:line="280" w:lineRule="auto"/>
        <w:jc w:val="both"/>
      </w:pPr>
      <w:r>
        <w:t>Model procurement code amendments are adopted by states through a variety of legislative and regulatory mechanisms. Some states have enacted the MPC by statute and require legislative amendment to add new articles. Others have implemented MPC provisions through procurement regulations that can be modified by executive or agency action. The Article 3B framework is designed to be adoptable through either mechanism, with the statutory language suitable for direct legislative enactment and the Official Comments providing the interpretive guidance that regulatory implementation typically requires.</w:t>
      </w:r>
    </w:p>
    <w:p w14:paraId="6D8D557A" w14:textId="77777777" w:rsidR="00495A62" w:rsidRDefault="00000000">
      <w:pPr>
        <w:spacing w:before="120" w:after="120" w:line="280" w:lineRule="auto"/>
        <w:jc w:val="both"/>
      </w:pPr>
      <w:r>
        <w:t>The recommended adoption timeline, based on the pilot-then-publish strategy, is: ABA committee endorsement and Toolkit finalization in 2026; pilot state procurements conducted from 2026 through 2027; publication of consolidated pilot findings in late 2027; and targeted legislative and regulatory adoption campaigns in additional states from 2028 forward, using the pilot findings as the primary evidentiary foundation. States that adopt Article 3B before the pilot period concludes should be encouraged to participate in the pilot documentation process even if they are not designated pilot states, creating a broader base of implementation experience.</w:t>
      </w:r>
    </w:p>
    <w:p w14:paraId="621529F8" w14:textId="77777777" w:rsidR="00495A62" w:rsidRDefault="00000000">
      <w:pPr>
        <w:spacing w:before="120" w:after="120" w:line="280" w:lineRule="auto"/>
        <w:jc w:val="both"/>
      </w:pPr>
      <w:r>
        <w:t xml:space="preserve">The ABA endorsement of Article 3B should be accompanied by formal endorsements from NASPO and, where applicable, the National League of Cities and the National Association of Counties, whose members include the local governments that are increasingly significant technology procurers and that lack the procurement staff resources of larger states. Local government adoption is particularly important because genuinely novel technology procurement is increasingly a local-government challenge, and the forced-fit problem described in Part II is, if anything, more acute for local governments that lack dedicated </w:t>
      </w:r>
      <w:proofErr w:type="gramStart"/>
      <w:r>
        <w:t>innovation</w:t>
      </w:r>
      <w:proofErr w:type="gramEnd"/>
      <w:r>
        <w:t xml:space="preserve"> procurement staff.</w:t>
      </w:r>
    </w:p>
    <w:p w14:paraId="60F80AA6" w14:textId="77777777" w:rsidR="00495A62" w:rsidRDefault="00000000">
      <w:pPr>
        <w:pStyle w:val="Heading2"/>
        <w:spacing w:before="360" w:after="140"/>
      </w:pPr>
      <w:r>
        <w:t>C. Federal Alignment</w:t>
      </w:r>
    </w:p>
    <w:p w14:paraId="26BD704D" w14:textId="77777777" w:rsidR="00495A62" w:rsidRDefault="00000000">
      <w:pPr>
        <w:spacing w:before="120" w:after="120" w:line="280" w:lineRule="auto"/>
        <w:jc w:val="both"/>
      </w:pPr>
      <w:r>
        <w:lastRenderedPageBreak/>
        <w:t>State and local governments receive substantial federal funding for technology programs through grants administered by multiple federal agencies, including the Department of Homeland Security, the Department of Transportation, the Department of Health and Human Services, and the Economic Development Administration. Federal grant conditions for technology-related programs frequently address procurement requirements, and alignment between Article 3B and those conditions is both a legal necessity for adopting states and a significant adoption incentive.</w:t>
      </w:r>
    </w:p>
    <w:p w14:paraId="4C8A0653" w14:textId="77777777" w:rsidR="00495A62" w:rsidRDefault="00000000">
      <w:pPr>
        <w:spacing w:before="120" w:after="120" w:line="280" w:lineRule="auto"/>
        <w:jc w:val="both"/>
      </w:pPr>
      <w:r>
        <w:t>The paper recommends that the ABA, in coordination with NASPO, engage with the Office of Management and Budget and relevant federal agencies to ensure that Article 3B PoC Procurements conducted with federal grant funds are recognized as compliant with applicable federal procurement requirements. The federal SBIR and STTR programs, whose phase structure and transition mechanisms Article 3B adapts for state and local use, provide the most natural federal alignment point: states whose Article 3B procurements are conducted in conjunction with SBIR or STTR awardees should be able to rely on the federal competitive selection process as satisfying the Article 3B market research and competition requirements for the initial phase.</w:t>
      </w:r>
    </w:p>
    <w:p w14:paraId="66217B83" w14:textId="77777777" w:rsidR="00495A62" w:rsidRDefault="00000000">
      <w:pPr>
        <w:spacing w:before="120" w:after="120" w:line="280" w:lineRule="auto"/>
        <w:jc w:val="both"/>
      </w:pPr>
      <w:r>
        <w:t>The DHS Procurement Innovation Lab is an additional federal alignment resource. The PIL's documented experience with innovative procurement methods in the federal context provides case study material that supports Article 3B's evidentiary foundation, and PIL staff are potential resource contributors to the Article 3B training curriculum of Toolkit Component 9. Formalizing this relationship through an ABA-DHS memorandum of understanding for curriculum development and case study sharing would strengthen both the Toolkit and the federal adoption case.</w:t>
      </w:r>
    </w:p>
    <w:p w14:paraId="2D8C36DE" w14:textId="77777777" w:rsidR="00495A62" w:rsidRDefault="00000000">
      <w:pPr>
        <w:pStyle w:val="Heading2"/>
        <w:spacing w:before="360" w:after="140"/>
      </w:pPr>
      <w:r>
        <w:t xml:space="preserve">D. </w:t>
      </w:r>
      <w:proofErr w:type="spellStart"/>
      <w:r>
        <w:t>StateRAMP</w:t>
      </w:r>
      <w:proofErr w:type="spellEnd"/>
      <w:r>
        <w:t xml:space="preserve"> and Subcontractor Prequalification Framework Development</w:t>
      </w:r>
    </w:p>
    <w:p w14:paraId="7721BA29" w14:textId="77777777" w:rsidR="00495A62" w:rsidRDefault="00000000">
      <w:pPr>
        <w:spacing w:before="120" w:after="120" w:line="280" w:lineRule="auto"/>
        <w:jc w:val="both"/>
      </w:pPr>
      <w:r>
        <w:t xml:space="preserve">Part II, Section F and Part III, Section G of this working paper recommend that NASPO, in coordination with </w:t>
      </w:r>
      <w:proofErr w:type="spellStart"/>
      <w:r>
        <w:t>StateRAMP</w:t>
      </w:r>
      <w:proofErr w:type="spellEnd"/>
      <w:r>
        <w:t xml:space="preserve"> and the Multi-State Information Sharing and Analysis Center, develop a PoC subcontractor prequalification framework for adoption as part of the Article 3B implementation toolkit. This recommendation is the most significant institutional development task in the implementation roadmap and the one requiring the longest lead time.</w:t>
      </w:r>
    </w:p>
    <w:p w14:paraId="63EFBD17" w14:textId="77777777" w:rsidR="00495A62" w:rsidRDefault="00000000">
      <w:pPr>
        <w:spacing w:before="120" w:after="120" w:line="280" w:lineRule="auto"/>
        <w:jc w:val="both"/>
      </w:pPr>
      <w:r>
        <w:t xml:space="preserve">The framework development process should begin with a scoping exercise to identify the technical domains for which subcontractor prequalification is most operationally valuable in PoC Procurement contexts. Based on current technology procurement patterns, the initial domains should </w:t>
      </w:r>
      <w:proofErr w:type="gramStart"/>
      <w:r>
        <w:t>include:</w:t>
      </w:r>
      <w:proofErr w:type="gramEnd"/>
      <w:r>
        <w:t xml:space="preserve"> artificial intelligence and machine learning systems development; cloud architecture and security; data engineering and analytics; identity and access management; and cybersecurity assessment and penetration testing. For each </w:t>
      </w:r>
      <w:r>
        <w:lastRenderedPageBreak/>
        <w:t>domain, the framework should define the qualifications, certifications, and practice standards that constitute the prequalification baseline, drawing on existing industry certifications where they exist and identifying gaps where government-specific standards are needed.</w:t>
      </w:r>
    </w:p>
    <w:p w14:paraId="7F36017B" w14:textId="77777777" w:rsidR="00495A62" w:rsidRDefault="00000000">
      <w:pPr>
        <w:spacing w:before="120" w:after="120" w:line="280" w:lineRule="auto"/>
        <w:jc w:val="both"/>
      </w:pPr>
      <w:r>
        <w:t xml:space="preserve">The </w:t>
      </w:r>
      <w:proofErr w:type="spellStart"/>
      <w:r>
        <w:t>StateRAMP</w:t>
      </w:r>
      <w:proofErr w:type="spellEnd"/>
      <w:r>
        <w:t xml:space="preserve"> model provides </w:t>
      </w:r>
      <w:proofErr w:type="gramStart"/>
      <w:r>
        <w:t>the governance</w:t>
      </w:r>
      <w:proofErr w:type="gramEnd"/>
      <w:r>
        <w:t xml:space="preserve"> architecture: a program management office that reviews and validates subcontractor prequalification claims, a continuous monitoring requirement that maintains currency of validated status, and a reciprocity framework that allows validation earned in one participating jurisdiction to be recognized by others. The program management office function could be housed within </w:t>
      </w:r>
      <w:proofErr w:type="spellStart"/>
      <w:r>
        <w:t>StateRAMP's</w:t>
      </w:r>
      <w:proofErr w:type="spellEnd"/>
      <w:r>
        <w:t xml:space="preserve"> existing infrastructure, which already serves a related function for cloud service provider authorization, reducing the organizational development burden and leveraging </w:t>
      </w:r>
      <w:proofErr w:type="spellStart"/>
      <w:r>
        <w:t>StateRAMP's</w:t>
      </w:r>
      <w:proofErr w:type="spellEnd"/>
      <w:r>
        <w:t xml:space="preserve"> existing relationships with state CIOs and state procurement offices.</w:t>
      </w:r>
    </w:p>
    <w:p w14:paraId="55E3BBA0" w14:textId="77777777" w:rsidR="00495A62" w:rsidRDefault="00000000">
      <w:pPr>
        <w:spacing w:before="120" w:after="120" w:line="280" w:lineRule="auto"/>
        <w:jc w:val="both"/>
      </w:pPr>
      <w:r>
        <w:t xml:space="preserve">The timeline for subcontractor prequalification framework development is necessarily longer than the Article 3B adoption timeline: initial domain scoping and standards development in 2026 and 2027, pilot program operation in 2028, and broader availability aligned with the Article 3B legislative adoption campaign from 2028 forward. The prequalification framework's availability is not a prerequisite for Article 3B adoption; Section 3B-207(g) makes prequalification optional, and the mandatory flow-down clause framework of Section 3B-207(a) through (f) operates independently of whether a prequalification framework exists. The </w:t>
      </w:r>
      <w:proofErr w:type="gramStart"/>
      <w:r>
        <w:t>prequalification</w:t>
      </w:r>
      <w:proofErr w:type="gramEnd"/>
      <w:r>
        <w:t xml:space="preserve"> framework enhances the flow-down regime by reducing due diligence burden and raising baseline standards; it does not substitute for it.</w:t>
      </w:r>
    </w:p>
    <w:p w14:paraId="1CA1D15A" w14:textId="77777777" w:rsidR="00495A62" w:rsidRDefault="00000000">
      <w:pPr>
        <w:pStyle w:val="Heading2"/>
        <w:spacing w:before="360" w:after="140"/>
      </w:pPr>
      <w:r>
        <w:t>E. Metrics for Evaluating Article 3B Performance</w:t>
      </w:r>
    </w:p>
    <w:p w14:paraId="06E93693" w14:textId="77777777" w:rsidR="00495A62" w:rsidRDefault="00000000">
      <w:pPr>
        <w:spacing w:before="120" w:after="120" w:line="280" w:lineRule="auto"/>
        <w:jc w:val="both"/>
      </w:pPr>
      <w:r>
        <w:t>An implementation strategy without defined metrics cannot demonstrate success or identify failures requiring correction. The following metrics are recommended for systematic collection across Article 3B procurements, beginning with the pilot period and continuing through broader adoption.</w:t>
      </w:r>
    </w:p>
    <w:p w14:paraId="3BDF66D1" w14:textId="77777777" w:rsidR="00495A62" w:rsidRDefault="00000000">
      <w:pPr>
        <w:spacing w:before="120" w:after="120" w:line="280" w:lineRule="auto"/>
        <w:jc w:val="both"/>
      </w:pPr>
      <w:r>
        <w:t>The PoC-to-MVP conversion rate measures the proportion of authorized PoC Procurements that produce at least one accepted MVP. This is the primary measure of the framework's technical effectiveness: a high conversion rate indicates that the phased multi-vendor structure is successfully identifying viable solution approaches; a low rate indicates either that the Genuinely Novel triggering standard is being applied to procurements where viable solutions do not exist, or that the framework's exploratory design is not functioning as intended.</w:t>
      </w:r>
    </w:p>
    <w:p w14:paraId="0478295C" w14:textId="77777777" w:rsidR="00495A62" w:rsidRDefault="00000000">
      <w:pPr>
        <w:spacing w:before="120" w:after="120" w:line="280" w:lineRule="auto"/>
        <w:jc w:val="both"/>
      </w:pPr>
      <w:r>
        <w:t xml:space="preserve">The MVP-to-production transition rate measures the proportion of accepted MVPs that result in production procurements. This metric addresses the transition-to-production problem discussed in Part II: a framework that produces successful MVPs but cannot </w:t>
      </w:r>
      <w:r>
        <w:lastRenderedPageBreak/>
        <w:t>convert them to production deployments has not solved the government's ultimate procurement challenge.</w:t>
      </w:r>
    </w:p>
    <w:p w14:paraId="10D76233" w14:textId="77777777" w:rsidR="00495A62" w:rsidRDefault="00000000">
      <w:pPr>
        <w:spacing w:before="120" w:after="120" w:line="280" w:lineRule="auto"/>
        <w:jc w:val="both"/>
      </w:pPr>
      <w:r>
        <w:t>The specification protest rate measures the proportion of Article 3B solicitations that generate protests on specification grounds. Given that outcome-based specification protests are the most significant legal risk identified in this working paper, tracking this metric allows identification of specification development patterns that are generating protest exposure and calibration of the Open Market Consultation process and training requirements accordingly.</w:t>
      </w:r>
    </w:p>
    <w:p w14:paraId="31DF05B6" w14:textId="77777777" w:rsidR="00495A62" w:rsidRDefault="00000000">
      <w:pPr>
        <w:spacing w:before="120" w:after="120" w:line="280" w:lineRule="auto"/>
        <w:jc w:val="both"/>
      </w:pPr>
      <w:r>
        <w:t>The subcontractor accountability incident rate measures the proportion of Article 3B procurements in which flow-down clause obligations were invoked, either by the government directly against a subcontractor or by a prime contractor against a subcontractor in circumstances that triggered the government's third-party beneficiary rights. This metric provides empirical validation of the flow-down framework's operational effectiveness and identifies the categories of subcontractor failure most frequently encountered in practice.</w:t>
      </w:r>
    </w:p>
    <w:p w14:paraId="53EAE006" w14:textId="77777777" w:rsidR="00495A62" w:rsidRDefault="00000000">
      <w:pPr>
        <w:spacing w:before="120" w:after="120" w:line="280" w:lineRule="auto"/>
        <w:jc w:val="both"/>
      </w:pPr>
      <w:r>
        <w:t>The consortium procurement participation rate measures the proportion of Article 3B PoC Procurements conducted as Consortium Procurements under Section 3B-205. A high consortium participation rate indicates that the framework is achieving the scale aggregation benefits that make Genuinely Novel technology development economically rational across a range of jurisdictions; a low rate may indicate barriers to consortium formation that the MOU template and governance framework should address.</w:t>
      </w:r>
    </w:p>
    <w:p w14:paraId="74A115E7" w14:textId="77777777" w:rsidR="00495A62" w:rsidRDefault="00000000">
      <w:pPr>
        <w:spacing w:before="120" w:after="120" w:line="280" w:lineRule="auto"/>
        <w:jc w:val="both"/>
      </w:pPr>
      <w:r>
        <w:t>These metrics should be collected through the annual audit requirement of Section 3B-308(d) and the Post-PoC Report requirement of Section 3B-308(e</w:t>
      </w:r>
      <w:proofErr w:type="gramStart"/>
      <w:r>
        <w:t>), and</w:t>
      </w:r>
      <w:proofErr w:type="gramEnd"/>
      <w:r>
        <w:t xml:space="preserve"> should be aggregated at the national level by NASPO and reported to the ABA committee on a biennial basis. The aggregated data will support continuous improvement of the Article 3B framework and Toolkit and provide the evidentiary foundation for any future amendments the committee determines to be warranted by operational experience.</w:t>
      </w:r>
    </w:p>
    <w:p w14:paraId="62D222F2" w14:textId="77777777" w:rsidR="00495A62" w:rsidRDefault="00000000">
      <w:pPr>
        <w:pStyle w:val="Heading2"/>
        <w:spacing w:before="360" w:after="140"/>
      </w:pPr>
      <w:r>
        <w:t>F. Long-Term Framework Evolution</w:t>
      </w:r>
    </w:p>
    <w:p w14:paraId="32938AA3" w14:textId="77777777" w:rsidR="00495A62" w:rsidRDefault="00000000">
      <w:pPr>
        <w:spacing w:before="120" w:after="120" w:line="280" w:lineRule="auto"/>
        <w:jc w:val="both"/>
      </w:pPr>
      <w:r>
        <w:t xml:space="preserve">Article 3B is designed for the current generation of genuinely novel technology procurement challenges, of which LLM AI systems are the primary illustrative example. The framework's design is intended to be technologically neutral: its triggering standard, process structure, IP framework, and accountability mechanisms are defined in terms of procurement and legal concepts rather than technology-specific </w:t>
      </w:r>
      <w:proofErr w:type="gramStart"/>
      <w:r>
        <w:t>terms, and</w:t>
      </w:r>
      <w:proofErr w:type="gramEnd"/>
      <w:r>
        <w:t xml:space="preserve"> should remain applicable to future generations of genuinely novel technologies that cannot be anticipated today.</w:t>
      </w:r>
    </w:p>
    <w:p w14:paraId="613A5831" w14:textId="77777777" w:rsidR="00495A62" w:rsidRDefault="00000000">
      <w:pPr>
        <w:spacing w:before="120" w:after="120" w:line="280" w:lineRule="auto"/>
        <w:jc w:val="both"/>
      </w:pPr>
      <w:r>
        <w:lastRenderedPageBreak/>
        <w:t xml:space="preserve">However, the Toolkit and training curriculum are inherently more technology-specific and will require more frequent updating as technology procurement challenges evolve. The governance structure recommended in Part VII </w:t>
      </w:r>
      <w:proofErr w:type="gramStart"/>
      <w:r>
        <w:t>provides for</w:t>
      </w:r>
      <w:proofErr w:type="gramEnd"/>
      <w:r>
        <w:t xml:space="preserve"> continuous Toolkit updates without requiring statutory amendment, and the ABA committee should plan for periodic Toolkit reviews on a three-to-</w:t>
      </w:r>
      <w:proofErr w:type="gramStart"/>
      <w:r>
        <w:t>five year</w:t>
      </w:r>
      <w:proofErr w:type="gramEnd"/>
      <w:r>
        <w:t xml:space="preserve"> cycle, with targeted updates to specific components as new technology domains emerge and as implementation experience identifies gaps in the current content.</w:t>
      </w:r>
    </w:p>
    <w:p w14:paraId="16564CDC" w14:textId="77777777" w:rsidR="00495A62" w:rsidRDefault="00000000">
      <w:pPr>
        <w:spacing w:before="120" w:after="120" w:line="280" w:lineRule="auto"/>
        <w:jc w:val="both"/>
      </w:pPr>
      <w:r>
        <w:t>The committee should also monitor developments in federal procurement law, particularly in the areas of Other Transaction Authority, SBIR and STTR program evolution, and federal AI procurement policy, for developments that affect the Article 3B framework's federal alignment or that provide new models for specific framework elements. The federal government's experience with large-scale LLM AI procurement over the next several years will generate a body of documented experience that should be systematically reviewed for Article 3B Toolkit integration.</w:t>
      </w:r>
    </w:p>
    <w:p w14:paraId="07CF4D78" w14:textId="77777777" w:rsidR="00495A62" w:rsidRDefault="00000000">
      <w:pPr>
        <w:spacing w:before="120" w:after="120" w:line="280" w:lineRule="auto"/>
        <w:jc w:val="both"/>
      </w:pPr>
      <w:r>
        <w:t xml:space="preserve">Finally, the committee should maintain an ongoing dialogue with </w:t>
      </w:r>
      <w:proofErr w:type="spellStart"/>
      <w:r>
        <w:t>StateRAMP</w:t>
      </w:r>
      <w:proofErr w:type="spellEnd"/>
      <w:r>
        <w:t xml:space="preserve">, NASCIO, and the multi-state information security community about the evolution of the subcontractor prequalification framework and the cybersecurity requirements for PoC Procurements involving citizen-facing systems. The threat environment for government information systems is not static, and </w:t>
      </w:r>
      <w:proofErr w:type="gramStart"/>
      <w:r>
        <w:t>the Article</w:t>
      </w:r>
      <w:proofErr w:type="gramEnd"/>
      <w:r>
        <w:t xml:space="preserve"> 3B security assessment and live system access conditions must remain calibrated to current threat realities rather than becoming a compliance checklist that no longer reflects actual risk.</w:t>
      </w:r>
    </w:p>
    <w:p w14:paraId="0010CA35" w14:textId="77777777" w:rsidR="00CC298D" w:rsidRDefault="00CC298D">
      <w:pPr>
        <w:rPr>
          <w:b/>
          <w:bCs/>
          <w:caps/>
          <w:color w:val="2E4057"/>
          <w:sz w:val="28"/>
          <w:szCs w:val="28"/>
        </w:rPr>
      </w:pPr>
      <w:r>
        <w:rPr>
          <w:b/>
          <w:bCs/>
          <w:caps/>
          <w:color w:val="2E4057"/>
          <w:sz w:val="28"/>
          <w:szCs w:val="28"/>
        </w:rPr>
        <w:br w:type="page"/>
      </w:r>
    </w:p>
    <w:p w14:paraId="26AB6B1B" w14:textId="6C75D8F3" w:rsidR="00495A62" w:rsidRDefault="00000000">
      <w:pPr>
        <w:spacing w:before="400" w:after="200"/>
        <w:jc w:val="center"/>
      </w:pPr>
      <w:r>
        <w:rPr>
          <w:b/>
          <w:bCs/>
          <w:caps/>
          <w:color w:val="2E4057"/>
          <w:sz w:val="28"/>
          <w:szCs w:val="28"/>
        </w:rPr>
        <w:lastRenderedPageBreak/>
        <w:t>CONCLUSION</w:t>
      </w:r>
    </w:p>
    <w:p w14:paraId="1938B105" w14:textId="77777777" w:rsidR="00495A62" w:rsidRDefault="00000000">
      <w:pPr>
        <w:spacing w:before="120" w:after="120" w:line="280" w:lineRule="auto"/>
        <w:jc w:val="both"/>
      </w:pPr>
      <w:r>
        <w:t xml:space="preserve">This </w:t>
      </w:r>
      <w:proofErr w:type="gramStart"/>
      <w:r>
        <w:t>working</w:t>
      </w:r>
      <w:proofErr w:type="gramEnd"/>
      <w:r>
        <w:t xml:space="preserve"> paper has proposed a complete framework for integrating proof-of-concept procurement of genuinely novel technologies into the ABA Model Procurement Code. The framework addresses the six principal failures of the existing MPC architecture in this context: the competitive sealed proposal forced fit, the solution bias problem, the sole source trap, the absence of a minimum viable product concept bridging PoC and production procurement, the unaddressed fiduciary obligations of government to citizens whose data and services are implicated in novel technology exploration, and the structural mismatch between formal prime contractor accountability and the actual location of expertise and risk in complex PoC work.</w:t>
      </w:r>
    </w:p>
    <w:p w14:paraId="2EEBC7DC" w14:textId="77777777" w:rsidR="00495A62" w:rsidRDefault="00000000">
      <w:pPr>
        <w:spacing w:before="120" w:after="120" w:line="280" w:lineRule="auto"/>
        <w:jc w:val="both"/>
      </w:pPr>
      <w:r>
        <w:t xml:space="preserve">The proposed Article 3B and its conforming amendments draw on a convergent body of evidence from state innovation, European pre-commercial procurement law, federal small business innovation programs, the DHS Procurement Innovation Lab, NASPO cooperative purchasing models, and the </w:t>
      </w:r>
      <w:proofErr w:type="spellStart"/>
      <w:r>
        <w:t>StateRAMP</w:t>
      </w:r>
      <w:proofErr w:type="spellEnd"/>
      <w:r>
        <w:t xml:space="preserve"> security authorization framework. The design choices made in the statutory language are grounded in documented operational experience across these frameworks rather than in theoretical preference, and the recommendations on contested policy questions are accompanied by full explanations of the competing considerations so that the committee and adopting states can evaluate them on their merits.</w:t>
      </w:r>
    </w:p>
    <w:p w14:paraId="265F21DC" w14:textId="77777777" w:rsidR="00495A62" w:rsidRDefault="00000000">
      <w:pPr>
        <w:spacing w:before="120" w:after="120" w:line="280" w:lineRule="auto"/>
        <w:jc w:val="both"/>
      </w:pPr>
      <w:r>
        <w:t>The framework is designed to be adoptable, durable, and self-correcting: adoptable because it works within existing state procurement law structures and the MPC's established drafting conventions; durable because its triggering standard, process structure, and accountability mechanisms are defined in technologically neutral terms that should remain applicable to future generations of genuinely novel technologies; and self-correcting because the mandatory Post-PoC Report and annual audit requirements generate the institutional learning record that allows continuous improvement of both the framework and the Toolkit that supports its implementation.</w:t>
      </w:r>
    </w:p>
    <w:p w14:paraId="2AA2ADB8" w14:textId="77777777" w:rsidR="00495A62" w:rsidRDefault="00000000">
      <w:pPr>
        <w:spacing w:before="120" w:after="120" w:line="280" w:lineRule="auto"/>
        <w:jc w:val="both"/>
      </w:pPr>
      <w:r>
        <w:t>The committee's consideration of this working paper is the first step in a process that will require engagement from practitioners, state procurement officials, technology vendors, legal scholars, and the citizens whose interests the framework is ultimately designed to protect. The paper invites that engagement and will benefit from it.</w:t>
      </w:r>
    </w:p>
    <w:p w14:paraId="1D7F7133" w14:textId="626C56A7" w:rsidR="00495A62" w:rsidRDefault="00495A62" w:rsidP="00CC298D">
      <w:pPr>
        <w:spacing w:before="300" w:after="300"/>
      </w:pPr>
    </w:p>
    <w:sectPr w:rsidR="00495A62">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5DD2" w14:textId="77777777" w:rsidR="009F6B72" w:rsidRDefault="009F6B72" w:rsidP="00401407">
      <w:r>
        <w:separator/>
      </w:r>
    </w:p>
  </w:endnote>
  <w:endnote w:type="continuationSeparator" w:id="0">
    <w:p w14:paraId="7114BB02" w14:textId="77777777" w:rsidR="009F6B72" w:rsidRDefault="009F6B72" w:rsidP="0040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36340"/>
      <w:docPartObj>
        <w:docPartGallery w:val="Page Numbers (Bottom of Page)"/>
        <w:docPartUnique/>
      </w:docPartObj>
    </w:sdtPr>
    <w:sdtContent>
      <w:sdt>
        <w:sdtPr>
          <w:id w:val="-1769616900"/>
          <w:docPartObj>
            <w:docPartGallery w:val="Page Numbers (Top of Page)"/>
            <w:docPartUnique/>
          </w:docPartObj>
        </w:sdtPr>
        <w:sdtContent>
          <w:p w14:paraId="655B4F1A" w14:textId="32D07331" w:rsidR="00401407" w:rsidRDefault="0040140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E40DB87" w14:textId="77777777" w:rsidR="00401407" w:rsidRDefault="00401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614B" w14:textId="77777777" w:rsidR="009F6B72" w:rsidRDefault="009F6B72" w:rsidP="00401407">
      <w:r>
        <w:separator/>
      </w:r>
    </w:p>
  </w:footnote>
  <w:footnote w:type="continuationSeparator" w:id="0">
    <w:p w14:paraId="2D6718DF" w14:textId="77777777" w:rsidR="009F6B72" w:rsidRDefault="009F6B72" w:rsidP="00401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2B85"/>
    <w:multiLevelType w:val="hybridMultilevel"/>
    <w:tmpl w:val="91AE3610"/>
    <w:lvl w:ilvl="0" w:tplc="684CBD94">
      <w:start w:val="1"/>
      <w:numFmt w:val="bullet"/>
      <w:lvlText w:val="•"/>
      <w:lvlJc w:val="left"/>
      <w:pPr>
        <w:ind w:left="720" w:hanging="360"/>
      </w:pPr>
    </w:lvl>
    <w:lvl w:ilvl="1" w:tplc="8E48F40C">
      <w:numFmt w:val="decimal"/>
      <w:lvlText w:val=""/>
      <w:lvlJc w:val="left"/>
    </w:lvl>
    <w:lvl w:ilvl="2" w:tplc="1ABABB58">
      <w:numFmt w:val="decimal"/>
      <w:lvlText w:val=""/>
      <w:lvlJc w:val="left"/>
    </w:lvl>
    <w:lvl w:ilvl="3" w:tplc="A6A0CE66">
      <w:numFmt w:val="decimal"/>
      <w:lvlText w:val=""/>
      <w:lvlJc w:val="left"/>
    </w:lvl>
    <w:lvl w:ilvl="4" w:tplc="DCE00B60">
      <w:numFmt w:val="decimal"/>
      <w:lvlText w:val=""/>
      <w:lvlJc w:val="left"/>
    </w:lvl>
    <w:lvl w:ilvl="5" w:tplc="E636363C">
      <w:numFmt w:val="decimal"/>
      <w:lvlText w:val=""/>
      <w:lvlJc w:val="left"/>
    </w:lvl>
    <w:lvl w:ilvl="6" w:tplc="F5263A82">
      <w:numFmt w:val="decimal"/>
      <w:lvlText w:val=""/>
      <w:lvlJc w:val="left"/>
    </w:lvl>
    <w:lvl w:ilvl="7" w:tplc="F04C4C90">
      <w:numFmt w:val="decimal"/>
      <w:lvlText w:val=""/>
      <w:lvlJc w:val="left"/>
    </w:lvl>
    <w:lvl w:ilvl="8" w:tplc="A6DE1C98">
      <w:numFmt w:val="decimal"/>
      <w:lvlText w:val=""/>
      <w:lvlJc w:val="left"/>
    </w:lvl>
  </w:abstractNum>
  <w:abstractNum w:abstractNumId="1" w15:restartNumberingAfterBreak="0">
    <w:nsid w:val="68B07A02"/>
    <w:multiLevelType w:val="hybridMultilevel"/>
    <w:tmpl w:val="C74E8E3E"/>
    <w:lvl w:ilvl="0" w:tplc="6B7045DA">
      <w:start w:val="1"/>
      <w:numFmt w:val="bullet"/>
      <w:lvlText w:val="●"/>
      <w:lvlJc w:val="left"/>
      <w:pPr>
        <w:ind w:left="720" w:hanging="360"/>
      </w:pPr>
    </w:lvl>
    <w:lvl w:ilvl="1" w:tplc="518E2156">
      <w:start w:val="1"/>
      <w:numFmt w:val="bullet"/>
      <w:lvlText w:val="○"/>
      <w:lvlJc w:val="left"/>
      <w:pPr>
        <w:ind w:left="1440" w:hanging="360"/>
      </w:pPr>
    </w:lvl>
    <w:lvl w:ilvl="2" w:tplc="38AEDB16">
      <w:start w:val="1"/>
      <w:numFmt w:val="bullet"/>
      <w:lvlText w:val="■"/>
      <w:lvlJc w:val="left"/>
      <w:pPr>
        <w:ind w:left="2160" w:hanging="360"/>
      </w:pPr>
    </w:lvl>
    <w:lvl w:ilvl="3" w:tplc="7F7672F6">
      <w:start w:val="1"/>
      <w:numFmt w:val="bullet"/>
      <w:lvlText w:val="●"/>
      <w:lvlJc w:val="left"/>
      <w:pPr>
        <w:ind w:left="2880" w:hanging="360"/>
      </w:pPr>
    </w:lvl>
    <w:lvl w:ilvl="4" w:tplc="B2D65DBC">
      <w:start w:val="1"/>
      <w:numFmt w:val="bullet"/>
      <w:lvlText w:val="○"/>
      <w:lvlJc w:val="left"/>
      <w:pPr>
        <w:ind w:left="3600" w:hanging="360"/>
      </w:pPr>
    </w:lvl>
    <w:lvl w:ilvl="5" w:tplc="7AEE854A">
      <w:start w:val="1"/>
      <w:numFmt w:val="bullet"/>
      <w:lvlText w:val="■"/>
      <w:lvlJc w:val="left"/>
      <w:pPr>
        <w:ind w:left="4320" w:hanging="360"/>
      </w:pPr>
    </w:lvl>
    <w:lvl w:ilvl="6" w:tplc="EA461BBC">
      <w:start w:val="1"/>
      <w:numFmt w:val="bullet"/>
      <w:lvlText w:val="●"/>
      <w:lvlJc w:val="left"/>
      <w:pPr>
        <w:ind w:left="5040" w:hanging="360"/>
      </w:pPr>
    </w:lvl>
    <w:lvl w:ilvl="7" w:tplc="5F00FB92">
      <w:start w:val="1"/>
      <w:numFmt w:val="bullet"/>
      <w:lvlText w:val="●"/>
      <w:lvlJc w:val="left"/>
      <w:pPr>
        <w:ind w:left="5760" w:hanging="360"/>
      </w:pPr>
    </w:lvl>
    <w:lvl w:ilvl="8" w:tplc="CB122C4E">
      <w:start w:val="1"/>
      <w:numFmt w:val="bullet"/>
      <w:lvlText w:val="●"/>
      <w:lvlJc w:val="left"/>
      <w:pPr>
        <w:ind w:left="6480" w:hanging="360"/>
      </w:pPr>
    </w:lvl>
  </w:abstractNum>
  <w:num w:numId="1" w16cid:durableId="9039520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62"/>
    <w:rsid w:val="00401407"/>
    <w:rsid w:val="00495A62"/>
    <w:rsid w:val="0050278F"/>
    <w:rsid w:val="009A0E0A"/>
    <w:rsid w:val="009F6B72"/>
    <w:rsid w:val="00CC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A52C"/>
  <w15:docId w15:val="{79EC964F-29DA-457A-8AF8-79AC0CF4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b/>
      <w:bCs/>
      <w:color w:val="2E4057"/>
      <w:sz w:val="32"/>
      <w:szCs w:val="32"/>
    </w:rPr>
  </w:style>
  <w:style w:type="paragraph" w:styleId="Heading2">
    <w:name w:val="heading 2"/>
    <w:uiPriority w:val="9"/>
    <w:unhideWhenUsed/>
    <w:qFormat/>
    <w:pPr>
      <w:spacing w:before="320" w:after="120"/>
      <w:outlineLvl w:val="1"/>
    </w:pPr>
    <w:rPr>
      <w:b/>
      <w:bCs/>
      <w:color w:val="2E4057"/>
      <w:sz w:val="28"/>
      <w:szCs w:val="28"/>
    </w:rPr>
  </w:style>
  <w:style w:type="paragraph" w:styleId="Heading3">
    <w:name w:val="heading 3"/>
    <w:uiPriority w:val="9"/>
    <w:unhideWhenUsed/>
    <w:qFormat/>
    <w:pPr>
      <w:spacing w:before="240" w:after="80"/>
      <w:outlineLvl w:val="2"/>
    </w:pPr>
    <w:rPr>
      <w:b/>
      <w:bCs/>
      <w:i/>
      <w:iCs/>
      <w:color w:val="3A3A3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01407"/>
    <w:pPr>
      <w:tabs>
        <w:tab w:val="center" w:pos="4680"/>
        <w:tab w:val="right" w:pos="9360"/>
      </w:tabs>
    </w:pPr>
  </w:style>
  <w:style w:type="character" w:customStyle="1" w:styleId="HeaderChar">
    <w:name w:val="Header Char"/>
    <w:basedOn w:val="DefaultParagraphFont"/>
    <w:link w:val="Header"/>
    <w:uiPriority w:val="99"/>
    <w:rsid w:val="00401407"/>
  </w:style>
  <w:style w:type="paragraph" w:styleId="Footer">
    <w:name w:val="footer"/>
    <w:basedOn w:val="Normal"/>
    <w:link w:val="FooterChar"/>
    <w:uiPriority w:val="99"/>
    <w:unhideWhenUsed/>
    <w:rsid w:val="00401407"/>
    <w:pPr>
      <w:tabs>
        <w:tab w:val="center" w:pos="4680"/>
        <w:tab w:val="right" w:pos="9360"/>
      </w:tabs>
    </w:pPr>
  </w:style>
  <w:style w:type="character" w:customStyle="1" w:styleId="FooterChar">
    <w:name w:val="Footer Char"/>
    <w:basedOn w:val="DefaultParagraphFont"/>
    <w:link w:val="Footer"/>
    <w:uiPriority w:val="99"/>
    <w:rsid w:val="0040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25699</Words>
  <Characters>178611</Characters>
  <Application>Microsoft Office Word</Application>
  <DocSecurity>0</DocSecurity>
  <Lines>4356</Lines>
  <Paragraphs>4347</Paragraphs>
  <ScaleCrop>false</ScaleCrop>
  <Company/>
  <LinksUpToDate>false</LinksUpToDate>
  <CharactersWithSpaces>199963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Leahy</cp:lastModifiedBy>
  <cp:revision>2</cp:revision>
  <dcterms:created xsi:type="dcterms:W3CDTF">2026-04-10T20:38:00Z</dcterms:created>
  <dcterms:modified xsi:type="dcterms:W3CDTF">2026-04-10T20:38:00Z</dcterms:modified>
</cp:coreProperties>
</file>