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Palatino Linotype" w:cs="Palatino Linotype" w:eastAsia="Palatino Linotype" w:hAnsi="Palatino Linotype"/>
          <w:b/>
          <w:bCs/>
          <w:caps/>
          <w:color w:val="C9A84C"/>
          <w:spacing w:val="40"/>
          <w:sz w:val="16"/>
          <w:szCs w:val="16"/>
        </w:rPr>
        <w:t xml:space="preserve">The Fiduciary Commons  |  Session 3 of 3</w:t>
      </w:r>
    </w:p>
    <w:p>
      <w:pPr>
        <w:spacing w:after="80" w:before="0"/>
      </w:pPr>
      <w:r>
        <w:rPr>
          <w:rFonts w:ascii="Palatino Linotype" w:cs="Palatino Linotype" w:eastAsia="Palatino Linotype" w:hAnsi="Palatino Linotype"/>
          <w:b/>
          <w:bCs/>
          <w:color w:val="1B2A4A"/>
          <w:sz w:val="32"/>
          <w:szCs w:val="32"/>
        </w:rPr>
        <w:t xml:space="preserve">The Inference Problem</w:t>
      </w:r>
    </w:p>
    <w:p>
      <w:pPr>
        <w:spacing w:after="240" w:before="0"/>
      </w:pPr>
      <w:r>
        <w:rPr>
          <w:rFonts w:ascii="Georgia" w:cs="Georgia" w:eastAsia="Georgia" w:hAnsi="Georgia"/>
          <w:i/>
          <w:iCs/>
          <w:color w:val="4B5563"/>
          <w:sz w:val="20"/>
          <w:szCs w:val="20"/>
        </w:rPr>
        <w:t xml:space="preserve">Completing the Architecture: GAAFA, Compliant Design, and Procurement as the Leverage Point</w:t>
      </w:r>
    </w:p>
    <w:p>
      <w:pPr>
        <w:pBdr>
          <w:bottom w:val="single" w:color="C9A84C" w:sz="6" w:space="1"/>
        </w:pBdr>
        <w:spacing w:after="200" w:before="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What This Session Argued</w:t>
      </w:r>
    </w:p>
    <w:p>
      <w:pPr>
        <w:spacing w:after="60" w:before="60"/>
        <w:jc w:val="both"/>
      </w:pPr>
      <w:r>
        <w:rPr>
          <w:rFonts w:ascii="Georgia" w:cs="Georgia" w:eastAsia="Georgia" w:hAnsi="Georgia"/>
          <w:color w:val="1F2937"/>
          <w:sz w:val="20"/>
          <w:szCs w:val="20"/>
        </w:rPr>
        <w:t xml:space="preserve">VIDA and PDTA built a privacy architecture around what data gets collected and how it is held. That architecture is necessary but incomplete. A system that never collects a fact can still reconstruct it through AI inference over transaction patterns and behavioral residue. GAAFA closes that gap by extending fiduciary duties to the AI and inference layer. The Supreme Court is moving in the same direction: Carpenter v. United States (2018) began the retreat from the Third Party Doctrine, and four sitting Justices have signaled the doctrine needs fundamental rethinking for digital-scale collection. Procurement is the leverage point where compliant standards either get embedded before technology is deployed or get abandoned in vendor negotiations after the market consolidates.</w:t>
      </w:r>
    </w:p>
    <w:p>
      <w:pPr>
        <w:spacing w:after="80" w:before="280"/>
      </w:pPr>
      <w:r>
        <w:rPr>
          <w:rFonts w:ascii="Palatino Linotype" w:cs="Palatino Linotype" w:eastAsia="Palatino Linotype" w:hAnsi="Palatino Linotype"/>
          <w:b/>
          <w:bCs/>
          <w:caps/>
          <w:color w:val="C9A84C"/>
          <w:spacing w:val="30"/>
          <w:sz w:val="18"/>
          <w:szCs w:val="18"/>
        </w:rPr>
        <w:t xml:space="preserve">Four Ideas Worth Keeping</w:t>
      </w:r>
    </w:p>
    <w:p>
      <w:pPr>
        <w:spacing w:after="40" w:before="180"/>
      </w:pPr>
      <w:r>
        <w:rPr>
          <w:rFonts w:ascii="Palatino Linotype" w:cs="Palatino Linotype" w:eastAsia="Palatino Linotype" w:hAnsi="Palatino Linotype"/>
          <w:b/>
          <w:bCs/>
          <w:color w:val="1B2A4A"/>
          <w:sz w:val="21"/>
          <w:szCs w:val="21"/>
        </w:rPr>
        <w:t xml:space="preserve">The mosaic assembles from correct transactions.</w:t>
      </w:r>
    </w:p>
    <w:p>
      <w:pPr>
        <w:spacing w:after="60" w:before="60"/>
        <w:jc w:val="both"/>
      </w:pPr>
      <w:r>
        <w:rPr>
          <w:rFonts w:ascii="Georgia" w:cs="Georgia" w:eastAsia="Georgia" w:hAnsi="Georgia"/>
          <w:color w:val="1F2937"/>
          <w:sz w:val="20"/>
          <w:szCs w:val="20"/>
        </w:rPr>
        <w:t xml:space="preserve">Aggregate inference reconstructs what individual data points cannot reveal. A VIDA-compliant age verification credential reveals nothing beyond age. But transaction logs across time reconstruct daily routine, social network, and behavioral profile. The credential architecture was correct. The inference engine worked around it. This is the constitutional problem Carpenter identified and GAAFA is designed to solve.</w:t>
      </w:r>
    </w:p>
    <w:p>
      <w:pPr>
        <w:spacing w:after="40" w:before="180"/>
      </w:pPr>
      <w:r>
        <w:rPr>
          <w:rFonts w:ascii="Palatino Linotype" w:cs="Palatino Linotype" w:eastAsia="Palatino Linotype" w:hAnsi="Palatino Linotype"/>
          <w:b/>
          <w:bCs/>
          <w:color w:val="1B2A4A"/>
          <w:sz w:val="21"/>
          <w:szCs w:val="21"/>
        </w:rPr>
        <w:t xml:space="preserve">The Court is moving toward the Fiduciary Commons standard.</w:t>
      </w:r>
    </w:p>
    <w:p>
      <w:pPr>
        <w:spacing w:after="60" w:before="60"/>
        <w:jc w:val="both"/>
      </w:pPr>
      <w:r>
        <w:rPr>
          <w:rFonts w:ascii="Georgia" w:cs="Georgia" w:eastAsia="Georgia" w:hAnsi="Georgia"/>
          <w:color w:val="1F2937"/>
          <w:sz w:val="20"/>
          <w:szCs w:val="20"/>
        </w:rPr>
        <w:t xml:space="preserve">In Carpenter v. United States (2018), Chief Justice Roberts held that long-term cell-site location data requires a warrant even though held by a third party, because the aggregate reveals the privacies of life. He declined to extend Smith v. Maryland's Third Party Doctrine to digital-scale collection. Four Justices want to go further. Systems built on third-party data sharing assumptions are built on contested legal ground. VIDA and PDTA are aligned with where the Court appears to be heading.</w:t>
      </w:r>
    </w:p>
    <w:p>
      <w:pPr>
        <w:spacing w:after="40" w:before="180"/>
      </w:pPr>
      <w:r>
        <w:rPr>
          <w:rFonts w:ascii="Palatino Linotype" w:cs="Palatino Linotype" w:eastAsia="Palatino Linotype" w:hAnsi="Palatino Linotype"/>
          <w:b/>
          <w:bCs/>
          <w:color w:val="1B2A4A"/>
          <w:sz w:val="21"/>
          <w:szCs w:val="21"/>
        </w:rPr>
        <w:t xml:space="preserve">AI reconstruction of uncollectable data is a fiduciary breach.</w:t>
      </w:r>
    </w:p>
    <w:p>
      <w:pPr>
        <w:spacing w:after="60" w:before="60"/>
        <w:jc w:val="both"/>
      </w:pPr>
      <w:r>
        <w:rPr>
          <w:rFonts w:ascii="Georgia" w:cs="Georgia" w:eastAsia="Georgia" w:hAnsi="Georgia"/>
          <w:color w:val="1F2937"/>
          <w:sz w:val="20"/>
          <w:szCs w:val="20"/>
        </w:rPr>
        <w:t xml:space="preserve">Government chose not to collect certain data because it had no constitutional right to collect it. Using AI to reconstruct from transaction patterns what the credential architecture was designed not to reveal bypasses the constitutional constraint without violating its letter. A trustee who finds an indirect method to extract value from the trust corpus that direct methods prohibit has not honored the trust. The method does not redeem the act. GAAFA closes the gap between what government cannot collect and what government cannot infer.</w:t>
      </w:r>
    </w:p>
    <w:p>
      <w:pPr>
        <w:spacing w:after="40" w:before="180"/>
      </w:pPr>
      <w:r>
        <w:rPr>
          <w:rFonts w:ascii="Palatino Linotype" w:cs="Palatino Linotype" w:eastAsia="Palatino Linotype" w:hAnsi="Palatino Linotype"/>
          <w:b/>
          <w:bCs/>
          <w:color w:val="1B2A4A"/>
          <w:sz w:val="21"/>
          <w:szCs w:val="21"/>
        </w:rPr>
        <w:t xml:space="preserve">Procurement is where standards get embedded or abandoned.</w:t>
      </w:r>
    </w:p>
    <w:p>
      <w:pPr>
        <w:spacing w:after="60" w:before="60"/>
        <w:jc w:val="both"/>
      </w:pPr>
      <w:r>
        <w:rPr>
          <w:rFonts w:ascii="Georgia" w:cs="Georgia" w:eastAsia="Georgia" w:hAnsi="Georgia"/>
          <w:color w:val="1F2937"/>
          <w:sz w:val="20"/>
          <w:szCs w:val="20"/>
        </w:rPr>
        <w:t xml:space="preserve">Standards set early in a technology's development are far more durable and far less costly to enforce than standards imposed after market patterns solidify. Article 3B, proposed to the ABA Model Procurement Code by Mike Leahy, creates the legal pathway for phased multi-vendor competition, outcome-based specifications, and fiduciary-aligned acceptance criteria. Vendors who build to GAAFA-compatible standards now set the baseline against which the statutory mandate will be measured.</w:t>
      </w:r>
    </w:p>
    <w:p>
      <w:pPr>
        <w:pBdr>
          <w:left w:val="single" w:color="C9A84C" w:sz="12" w:space="12"/>
        </w:pBdr>
        <w:spacing w:after="180" w:before="180"/>
        <w:ind w:left="360" w:right="360"/>
      </w:pPr>
      <w:r>
        <w:rPr>
          <w:rFonts w:ascii="Georgia" w:cs="Georgia" w:eastAsia="Georgia" w:hAnsi="Georgia"/>
          <w:b/>
          <w:bCs/>
          <w:i/>
          <w:iCs/>
          <w:color w:val="1B2A4A"/>
          <w:sz w:val="20"/>
          <w:szCs w:val="20"/>
        </w:rPr>
        <w:t xml:space="preserve">The constitutional constraint is not just about what is collected. It is about what is reconstructed. GAAFA closes the gap between those two things.</w:t>
      </w:r>
    </w:p>
    <w:p>
      <w:pPr>
        <w:spacing w:after="80" w:before="280"/>
      </w:pPr>
      <w:r>
        <w:rPr>
          <w:rFonts w:ascii="Palatino Linotype" w:cs="Palatino Linotype" w:eastAsia="Palatino Linotype" w:hAnsi="Palatino Linotype"/>
          <w:b/>
          <w:bCs/>
          <w:caps/>
          <w:color w:val="C9A84C"/>
          <w:spacing w:val="30"/>
          <w:sz w:val="18"/>
          <w:szCs w:val="18"/>
        </w:rPr>
        <w:t xml:space="preserve">The Closing Ask</w:t>
      </w:r>
    </w:p>
    <w:p>
      <w:pPr>
        <w:spacing w:after="60" w:before="60"/>
        <w:jc w:val="both"/>
      </w:pPr>
      <w:r>
        <w:rPr>
          <w:rFonts w:ascii="Georgia" w:cs="Georgia" w:eastAsia="Georgia" w:hAnsi="Georgia"/>
          <w:color w:val="1F2937"/>
          <w:sz w:val="20"/>
          <w:szCs w:val="20"/>
        </w:rPr>
        <w:t xml:space="preserve">Three specific actions. First: identify one state procurement relationship and ask whether the code has a proof-of-concept pathway for genuinely novel technology. Most do not. You now know what gap to name and what Article 3B provides. Second: build toward GAAFA compliance now and document it. The statute does not yet exist in most states; documented compliance-readiness is the evidence base legislative staff need to write achievable requirements. Third: engage with the Article 3B draft directly at fiduciarycommons.com. Vendor-side input is underrepresented in procurement law reform and is genuinely needed.</w:t>
      </w:r>
    </w:p>
    <w:p>
      <w:pPr>
        <w:pBdr>
          <w:bottom w:val="single" w:color="E5E7EB" w:sz="2" w:space="1"/>
        </w:pBdr>
        <w:spacing w:after="160" w:before="16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What This Means for Your Work</w:t>
      </w:r>
    </w:p>
    <w:p>
      <w:pPr>
        <w:spacing w:after="40" w:before="180"/>
      </w:pPr>
      <w:r>
        <w:rPr>
          <w:rFonts w:ascii="Palatino Linotype" w:cs="Palatino Linotype" w:eastAsia="Palatino Linotype" w:hAnsi="Palatino Linotype"/>
          <w:b/>
          <w:bCs/>
          <w:color w:val="1B2A4A"/>
          <w:sz w:val="21"/>
          <w:szCs w:val="21"/>
        </w:rPr>
        <w:t xml:space="preserve">Four architectural properties define GAAFA compliance</w:t>
      </w:r>
    </w:p>
    <w:p>
      <w:pPr>
        <w:spacing w:after="100" w:before="100"/>
      </w:pPr>
      <w:r>
        <w:rPr>
          <w:rFonts w:ascii="Georgia" w:cs="Georgia" w:eastAsia="Georgia" w:hAnsi="Georgia"/>
          <w:b/>
          <w:bCs/>
          <w:color w:val="1B2A4A"/>
          <w:sz w:val="20"/>
          <w:szCs w:val="20"/>
        </w:rPr>
        <w:t xml:space="preserve">Purpose-sequestered databases: </w:t>
      </w:r>
      <w:r>
        <w:rPr>
          <w:rFonts w:ascii="Georgia" w:cs="Georgia" w:eastAsia="Georgia" w:hAnsi="Georgia"/>
          <w:color w:val="1F2937"/>
          <w:sz w:val="20"/>
          <w:szCs w:val="20"/>
        </w:rPr>
        <w:t xml:space="preserve">separate data stores scoped to collection purpose, with AI access gated by purpose-matching logic and an audit trail. Cross-purpose queries require documented authorization.</w:t>
      </w:r>
    </w:p>
    <w:p>
      <w:pPr>
        <w:spacing w:after="100" w:before="100"/>
      </w:pPr>
      <w:r>
        <w:rPr>
          <w:rFonts w:ascii="Georgia" w:cs="Georgia" w:eastAsia="Georgia" w:hAnsi="Georgia"/>
          <w:b/>
          <w:bCs/>
          <w:color w:val="1B2A4A"/>
          <w:sz w:val="20"/>
          <w:szCs w:val="20"/>
        </w:rPr>
        <w:t xml:space="preserve">Cryptographic, individual-controlled, immutable audit trails: </w:t>
      </w:r>
      <w:r>
        <w:rPr>
          <w:rFonts w:ascii="Georgia" w:cs="Georgia" w:eastAsia="Georgia" w:hAnsi="Georgia"/>
          <w:color w:val="1F2937"/>
          <w:sz w:val="20"/>
          <w:szCs w:val="20"/>
        </w:rPr>
        <w:t xml:space="preserve">each access event hashed and chained; the citizen can inspect the full record of queries against their data; no entry can be deleted or modified.</w:t>
      </w:r>
    </w:p>
    <w:p>
      <w:pPr>
        <w:spacing w:after="100" w:before="100"/>
      </w:pPr>
      <w:r>
        <w:rPr>
          <w:rFonts w:ascii="Georgia" w:cs="Georgia" w:eastAsia="Georgia" w:hAnsi="Georgia"/>
          <w:b/>
          <w:bCs/>
          <w:color w:val="1B2A4A"/>
          <w:sz w:val="20"/>
          <w:szCs w:val="20"/>
        </w:rPr>
        <w:t xml:space="preserve">Explainability by design: </w:t>
      </w:r>
      <w:r>
        <w:rPr>
          <w:rFonts w:ascii="Georgia" w:cs="Georgia" w:eastAsia="Georgia" w:hAnsi="Georgia"/>
          <w:color w:val="1F2937"/>
          <w:sz w:val="20"/>
          <w:szCs w:val="20"/>
        </w:rPr>
        <w:t xml:space="preserve">AI-assisted decisions affecting citizen rights must identify the factors weighted, not merely the output. Built in from the design stage; retrofitting is an order of magnitude more expensive.</w:t>
      </w:r>
    </w:p>
    <w:p>
      <w:pPr>
        <w:spacing w:after="100" w:before="100"/>
      </w:pPr>
      <w:r>
        <w:rPr>
          <w:rFonts w:ascii="Georgia" w:cs="Georgia" w:eastAsia="Georgia" w:hAnsi="Georgia"/>
          <w:b/>
          <w:bCs/>
          <w:color w:val="1B2A4A"/>
          <w:sz w:val="20"/>
          <w:szCs w:val="20"/>
        </w:rPr>
        <w:t xml:space="preserve">Inference prohibitions enforced architecturally: </w:t>
      </w:r>
      <w:r>
        <w:rPr>
          <w:rFonts w:ascii="Georgia" w:cs="Georgia" w:eastAsia="Georgia" w:hAnsi="Georgia"/>
          <w:color w:val="1F2937"/>
          <w:sz w:val="20"/>
          <w:szCs w:val="20"/>
        </w:rPr>
        <w:t xml:space="preserve">purpose sequestration combined with access gating, not policy attestation alone.</w:t>
      </w:r>
    </w:p>
    <w:p>
      <w:pPr>
        <w:spacing w:after="40" w:before="180"/>
      </w:pPr>
      <w:r>
        <w:rPr>
          <w:rFonts w:ascii="Palatino Linotype" w:cs="Palatino Linotype" w:eastAsia="Palatino Linotype" w:hAnsi="Palatino Linotype"/>
          <w:b/>
          <w:bCs/>
          <w:color w:val="1B2A4A"/>
          <w:sz w:val="21"/>
          <w:szCs w:val="21"/>
        </w:rPr>
        <w:t xml:space="preserve">Article 3B: what it does for vendors</w:t>
      </w:r>
    </w:p>
    <w:p>
      <w:pPr>
        <w:spacing w:after="60" w:before="60"/>
        <w:jc w:val="both"/>
      </w:pPr>
      <w:r>
        <w:rPr>
          <w:rFonts w:ascii="Georgia" w:cs="Georgia" w:eastAsia="Georgia" w:hAnsi="Georgia"/>
          <w:color w:val="1F2937"/>
          <w:sz w:val="20"/>
          <w:szCs w:val="20"/>
        </w:rPr>
        <w:t xml:space="preserve">The current Model Procurement Code has no pathway for genuinely novel technology procurement. Article 3B creates one: phased multi-vendor competition that maintains competitive pressure through the exploratory arc, outcome-based specifications that eliminate solution bias, the Minimum Viable Product as the specification baseline for production, and citizen data carve-outs and flow-down clauses that structurally advantage GAAFA-compliant vendors. Practitioner input on the draft is open and needed.</w:t>
      </w:r>
    </w:p>
    <w:p>
      <w:pPr>
        <w:spacing w:after="40" w:before="180"/>
      </w:pPr>
      <w:r>
        <w:rPr>
          <w:rFonts w:ascii="Palatino Linotype" w:cs="Palatino Linotype" w:eastAsia="Palatino Linotype" w:hAnsi="Palatino Linotype"/>
          <w:b/>
          <w:bCs/>
          <w:color w:val="1B2A4A"/>
          <w:sz w:val="21"/>
          <w:szCs w:val="21"/>
        </w:rPr>
        <w:t xml:space="preserve">The market-shaping window</w:t>
      </w:r>
    </w:p>
    <w:p>
      <w:pPr>
        <w:spacing w:after="60" w:before="60"/>
        <w:jc w:val="both"/>
      </w:pPr>
      <w:r>
        <w:rPr>
          <w:rFonts w:ascii="Georgia" w:cs="Georgia" w:eastAsia="Georgia" w:hAnsi="Georgia"/>
          <w:color w:val="1F2937"/>
          <w:sz w:val="20"/>
          <w:szCs w:val="20"/>
        </w:rPr>
        <w:t xml:space="preserve">Government consortia using Article 3B embed compliance standards into procurement specifications before deployment. The standards vendors build to now become the market baseline. The window for that investment is the period before deployment at scale. Vendors who engage with the Article 3B framework now, providing input on what compliance standards should require, are shaping government AI procurement architecture for the next decade.</w:t>
      </w:r>
    </w:p>
    <w:p>
      <w:pPr>
        <w:pBdr>
          <w:bottom w:val="single" w:color="E5E7EB" w:sz="2" w:space="1"/>
        </w:pBdr>
        <w:spacing w:after="160" w:before="16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Key Terms</w:t>
      </w:r>
    </w:p>
    <w:p>
      <w:pPr>
        <w:spacing w:after="20" w:before="140"/>
      </w:pPr>
      <w:r>
        <w:rPr>
          <w:rFonts w:ascii="Georgia" w:cs="Georgia" w:eastAsia="Georgia" w:hAnsi="Georgia"/>
          <w:b/>
          <w:bCs/>
          <w:color w:val="1B2A4A"/>
          <w:sz w:val="19"/>
          <w:szCs w:val="19"/>
        </w:rPr>
        <w:t xml:space="preserve">The Mosaic Theory</w:t>
      </w:r>
    </w:p>
    <w:p>
      <w:pPr>
        <w:spacing w:after="80" w:before="0"/>
      </w:pPr>
      <w:r>
        <w:rPr>
          <w:rFonts w:ascii="Georgia" w:cs="Georgia" w:eastAsia="Georgia" w:hAnsi="Georgia"/>
          <w:color w:val="4B5563"/>
          <w:sz w:val="18"/>
          <w:szCs w:val="18"/>
        </w:rPr>
        <w:t xml:space="preserve">The constitutional principle, recognized in Carpenter v. United States (2018), that aggregate data reveals the privacies of life in ways no single data point does, requiring warrant protection even when individual data points would not.</w:t>
      </w:r>
    </w:p>
    <w:p>
      <w:pPr>
        <w:spacing w:after="20" w:before="140"/>
      </w:pPr>
      <w:r>
        <w:rPr>
          <w:rFonts w:ascii="Georgia" w:cs="Georgia" w:eastAsia="Georgia" w:hAnsi="Georgia"/>
          <w:b/>
          <w:bCs/>
          <w:color w:val="1B2A4A"/>
          <w:sz w:val="19"/>
          <w:szCs w:val="19"/>
        </w:rPr>
        <w:t xml:space="preserve">Third Party Doctrine</w:t>
      </w:r>
    </w:p>
    <w:p>
      <w:pPr>
        <w:spacing w:after="80" w:before="0"/>
      </w:pPr>
      <w:r>
        <w:rPr>
          <w:rFonts w:ascii="Georgia" w:cs="Georgia" w:eastAsia="Georgia" w:hAnsi="Georgia"/>
          <w:color w:val="4B5563"/>
          <w:sz w:val="18"/>
          <w:szCs w:val="18"/>
        </w:rPr>
        <w:t xml:space="preserve">The legal principle from Smith v. Maryland (1979) that information voluntarily shared with a third party loses Fourth Amendment protection. The Court declined to extend this doctrine to digital-scale data collection in Carpenter.</w:t>
      </w:r>
    </w:p>
    <w:p>
      <w:pPr>
        <w:spacing w:after="20" w:before="140"/>
      </w:pPr>
      <w:r>
        <w:rPr>
          <w:rFonts w:ascii="Georgia" w:cs="Georgia" w:eastAsia="Georgia" w:hAnsi="Georgia"/>
          <w:b/>
          <w:bCs/>
          <w:color w:val="1B2A4A"/>
          <w:sz w:val="19"/>
          <w:szCs w:val="19"/>
        </w:rPr>
        <w:t xml:space="preserve">Algorithmic Impact Assessment</w:t>
      </w:r>
    </w:p>
    <w:p>
      <w:pPr>
        <w:spacing w:after="80" w:before="0"/>
      </w:pPr>
      <w:r>
        <w:rPr>
          <w:rFonts w:ascii="Georgia" w:cs="Georgia" w:eastAsia="Georgia" w:hAnsi="Georgia"/>
          <w:color w:val="4B5563"/>
          <w:sz w:val="18"/>
          <w:szCs w:val="18"/>
        </w:rPr>
        <w:t xml:space="preserve">A required pre-deployment analysis documenting what a government AI system infers, from what inputs, with what error rates, and with what disparate impacts across population groups. Modeled on environmental impact assessments.</w:t>
      </w:r>
    </w:p>
    <w:p>
      <w:pPr>
        <w:spacing w:after="20" w:before="140"/>
      </w:pPr>
      <w:r>
        <w:rPr>
          <w:rFonts w:ascii="Georgia" w:cs="Georgia" w:eastAsia="Georgia" w:hAnsi="Georgia"/>
          <w:b/>
          <w:bCs/>
          <w:color w:val="1B2A4A"/>
          <w:sz w:val="19"/>
          <w:szCs w:val="19"/>
        </w:rPr>
        <w:t xml:space="preserve">Purpose-Sequestered Database</w:t>
      </w:r>
    </w:p>
    <w:p>
      <w:pPr>
        <w:spacing w:after="80" w:before="0"/>
      </w:pPr>
      <w:r>
        <w:rPr>
          <w:rFonts w:ascii="Georgia" w:cs="Georgia" w:eastAsia="Georgia" w:hAnsi="Georgia"/>
          <w:color w:val="4B5563"/>
          <w:sz w:val="18"/>
          <w:szCs w:val="18"/>
        </w:rPr>
        <w:t xml:space="preserve">A database architecture in which data is stored in separate systems scoped to the purpose for which it was collected, with access gated by purpose-matching logic. Prevents AI systems from drawing inferences across incompatible collection authorities.</w:t>
      </w:r>
    </w:p>
    <w:p>
      <w:pPr>
        <w:spacing w:after="20" w:before="140"/>
      </w:pPr>
      <w:r>
        <w:rPr>
          <w:rFonts w:ascii="Georgia" w:cs="Georgia" w:eastAsia="Georgia" w:hAnsi="Georgia"/>
          <w:b/>
          <w:bCs/>
          <w:color w:val="1B2A4A"/>
          <w:sz w:val="19"/>
          <w:szCs w:val="19"/>
        </w:rPr>
        <w:t xml:space="preserve">Article 3B</w:t>
      </w:r>
    </w:p>
    <w:p>
      <w:pPr>
        <w:spacing w:after="80" w:before="0"/>
      </w:pPr>
      <w:r>
        <w:rPr>
          <w:rFonts w:ascii="Georgia" w:cs="Georgia" w:eastAsia="Georgia" w:hAnsi="Georgia"/>
          <w:color w:val="4B5563"/>
          <w:sz w:val="18"/>
          <w:szCs w:val="18"/>
        </w:rPr>
        <w:t xml:space="preserve">Proposed addition to the ABA Model Procurement Code for State and Local Governments, authored by Mike Leahy, creating a legally sound pathway for proof-of-concept procurement of genuinely novel technology with fiduciary compliance built into the framework.</w:t>
      </w:r>
    </w:p>
    <w:p>
      <w:pPr>
        <w:spacing w:after="20" w:before="140"/>
      </w:pPr>
      <w:r>
        <w:rPr>
          <w:rFonts w:ascii="Georgia" w:cs="Georgia" w:eastAsia="Georgia" w:hAnsi="Georgia"/>
          <w:b/>
          <w:bCs/>
          <w:color w:val="1B2A4A"/>
          <w:sz w:val="19"/>
          <w:szCs w:val="19"/>
        </w:rPr>
        <w:t xml:space="preserve">Minimum Viable Product (MVP)</w:t>
      </w:r>
    </w:p>
    <w:p>
      <w:pPr>
        <w:spacing w:after="80" w:before="0"/>
      </w:pPr>
      <w:r>
        <w:rPr>
          <w:rFonts w:ascii="Georgia" w:cs="Georgia" w:eastAsia="Georgia" w:hAnsi="Georgia"/>
          <w:color w:val="4B5563"/>
          <w:sz w:val="18"/>
          <w:szCs w:val="18"/>
        </w:rPr>
        <w:t xml:space="preserve">Under Article 3B, the Phase 3 output that demonstrates a solution approach meets the government's functional need under real conditions. Becomes the specification baseline for production procurement, replacing pre-procurement assumptions with evidence.</w:t>
      </w:r>
    </w:p>
    <w:p>
      <w:pPr>
        <w:pBdr>
          <w:top w:val="single" w:color="E5E7EB" w:sz="2" w:space="4"/>
        </w:pBdr>
        <w:spacing w:after="0" w:before="280"/>
      </w:pPr>
      <w:r>
        <w:rPr>
          <w:rFonts w:ascii="Georgia" w:cs="Georgia" w:eastAsia="Georgia" w:hAnsi="Georgia"/>
          <w:i/>
          <w:iCs/>
          <w:color w:val="4B5563"/>
          <w:sz w:val="16"/>
          <w:szCs w:val="16"/>
        </w:rPr>
        <w:t xml:space="preserve">fiduciarycommons.com  |  michael@fiduciarycommons.com  |  For the full argument, see the Fiduciary Commons Series Summary.</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2026-04-25T22:01:28.214Z</dcterms:created>
  <dcterms:modified xsi:type="dcterms:W3CDTF">2026-04-25T22:01:28.215Z</dcterms:modified>
</cp:coreProperties>
</file>

<file path=docProps/custom.xml><?xml version="1.0" encoding="utf-8"?>
<Properties xmlns="http://schemas.openxmlformats.org/officeDocument/2006/custom-properties" xmlns:vt="http://schemas.openxmlformats.org/officeDocument/2006/docPropsVTypes"/>
</file>