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Palatino Linotype" w:cs="Palatino Linotype" w:eastAsia="Palatino Linotype" w:hAnsi="Palatino Linotype"/>
          <w:b/>
          <w:bCs/>
          <w:caps/>
          <w:color w:val="C9A84C"/>
          <w:spacing w:val="40"/>
          <w:sz w:val="16"/>
          <w:szCs w:val="16"/>
        </w:rPr>
        <w:t xml:space="preserve">The Fiduciary Commons  |  Session 2 of 3</w:t>
      </w:r>
    </w:p>
    <w:p>
      <w:pPr>
        <w:spacing w:after="80" w:before="0"/>
      </w:pPr>
      <w:r>
        <w:rPr>
          <w:rFonts w:ascii="Palatino Linotype" w:cs="Palatino Linotype" w:eastAsia="Palatino Linotype" w:hAnsi="Palatino Linotype"/>
          <w:b/>
          <w:bCs/>
          <w:color w:val="1B2A4A"/>
          <w:sz w:val="32"/>
          <w:szCs w:val="32"/>
        </w:rPr>
        <w:t xml:space="preserve">Why Incomplete Legislation Is a Practitioner Problem</w:t>
      </w:r>
    </w:p>
    <w:p>
      <w:pPr>
        <w:spacing w:after="240" w:before="0"/>
      </w:pPr>
      <w:r>
        <w:rPr>
          <w:rFonts w:ascii="Georgia" w:cs="Georgia" w:eastAsia="Georgia" w:hAnsi="Georgia"/>
          <w:i/>
          <w:iCs/>
          <w:color w:val="4B5563"/>
          <w:sz w:val="20"/>
          <w:szCs w:val="20"/>
        </w:rPr>
        <w:t xml:space="preserve">The Case for Enacting VIDA, PDTA, and GAAFA Together</w:t>
      </w:r>
    </w:p>
    <w:p>
      <w:pPr>
        <w:pBdr>
          <w:bottom w:val="single" w:color="C9A84C" w:sz="6" w:space="1"/>
        </w:pBdr>
        <w:spacing w:after="200" w:before="0"/>
      </w:pPr>
      <w:r>
        <w:t xml:space="preserve"/>
      </w:r>
    </w:p>
    <w:p>
      <w:pPr>
        <w:spacing w:after="80" w:before="280"/>
      </w:pPr>
      <w:r>
        <w:rPr>
          <w:rFonts w:ascii="Palatino Linotype" w:cs="Palatino Linotype" w:eastAsia="Palatino Linotype" w:hAnsi="Palatino Linotype"/>
          <w:b/>
          <w:bCs/>
          <w:caps/>
          <w:color w:val="C9A84C"/>
          <w:spacing w:val="30"/>
          <w:sz w:val="18"/>
          <w:szCs w:val="18"/>
        </w:rPr>
        <w:t xml:space="preserve">What This Session Argued</w:t>
      </w:r>
    </w:p>
    <w:p>
      <w:pPr>
        <w:spacing w:after="60" w:before="60"/>
        <w:jc w:val="both"/>
      </w:pPr>
      <w:r>
        <w:rPr>
          <w:rFonts w:ascii="Georgia" w:cs="Georgia" w:eastAsia="Georgia" w:hAnsi="Georgia"/>
          <w:color w:val="1F2937"/>
          <w:sz w:val="20"/>
          <w:szCs w:val="20"/>
        </w:rPr>
        <w:t xml:space="preserve">The Fiduciary Commons framework only works as a complete, uniform whole. Enacting pieces of it without the others creates specific failure scenarios with direct commercial consequences for identity vendors and protocol designers. The three scenarios described in this session are not hypothetical future risks: they describe current conditions in jurisdictions that have enacted portions of the framework without the others. Practitioners who engage with the legislative process to ensure complete and consistent enactment are protecting their own commercial interests, not acting as advocates for an external cause.</w:t>
      </w:r>
    </w:p>
    <w:p>
      <w:pPr>
        <w:spacing w:after="80" w:before="280"/>
      </w:pPr>
      <w:r>
        <w:rPr>
          <w:rFonts w:ascii="Palatino Linotype" w:cs="Palatino Linotype" w:eastAsia="Palatino Linotype" w:hAnsi="Palatino Linotype"/>
          <w:b/>
          <w:bCs/>
          <w:caps/>
          <w:color w:val="C9A84C"/>
          <w:spacing w:val="30"/>
          <w:sz w:val="18"/>
          <w:szCs w:val="18"/>
        </w:rPr>
        <w:t xml:space="preserve">Three Failure Scenarios</w:t>
      </w:r>
    </w:p>
    <w:p>
      <w:pPr>
        <w:spacing w:after="40" w:before="180"/>
      </w:pPr>
      <w:r>
        <w:rPr>
          <w:rFonts w:ascii="Palatino Linotype" w:cs="Palatino Linotype" w:eastAsia="Palatino Linotype" w:hAnsi="Palatino Linotype"/>
          <w:b/>
          <w:bCs/>
          <w:color w:val="1B2A4A"/>
          <w:sz w:val="21"/>
          <w:szCs w:val="21"/>
        </w:rPr>
        <w:t xml:space="preserve">VIDA without PDTA: the surveillance problem survives.</w:t>
      </w:r>
    </w:p>
    <w:p>
      <w:pPr>
        <w:spacing w:after="60" w:before="60"/>
        <w:jc w:val="both"/>
      </w:pPr>
      <w:r>
        <w:rPr>
          <w:rFonts w:ascii="Georgia" w:cs="Georgia" w:eastAsia="Georgia" w:hAnsi="Georgia"/>
          <w:color w:val="1F2937"/>
          <w:sz w:val="20"/>
          <w:szCs w:val="20"/>
        </w:rPr>
        <w:t xml:space="preserve">A technically correct credential architecture issues selective disclosure credentials and zero-knowledge proofs. No underlying data is transmitted. The architecture meets every VIDA requirement. But verification metadata, recording who presented credentials, to which agency, when and where, is unprotected. Without PDTA's purpose limitation and fiduciary duties, that metadata can be aggregated into a behavioral profile constitutionally indistinguishable from the surveillance the credential was designed to prevent. The architecture was correct. The vendor is named in the complaint.</w:t>
      </w:r>
    </w:p>
    <w:p>
      <w:pPr>
        <w:spacing w:after="40" w:before="180"/>
      </w:pPr>
      <w:r>
        <w:rPr>
          <w:rFonts w:ascii="Palatino Linotype" w:cs="Palatino Linotype" w:eastAsia="Palatino Linotype" w:hAnsi="Palatino Linotype"/>
          <w:b/>
          <w:bCs/>
          <w:color w:val="1B2A4A"/>
          <w:sz w:val="21"/>
          <w:szCs w:val="21"/>
        </w:rPr>
        <w:t xml:space="preserve">PDTA without VIDA: the duty is unachievable.</w:t>
      </w:r>
    </w:p>
    <w:p>
      <w:pPr>
        <w:spacing w:after="60" w:before="60"/>
        <w:jc w:val="both"/>
      </w:pPr>
      <w:r>
        <w:rPr>
          <w:rFonts w:ascii="Georgia" w:cs="Georgia" w:eastAsia="Georgia" w:hAnsi="Georgia"/>
          <w:color w:val="1F2937"/>
          <w:sz w:val="20"/>
          <w:szCs w:val="20"/>
        </w:rPr>
        <w:t xml:space="preserve">Legal obligations requiring data minimization, purpose limitation, and individual-controlled audit trails are imposed on agencies whose infrastructure is a centralized database with no zero-knowledge capability and no cryptographic audit trail. The duty is real; the means to fulfill it structurally do not exist. Vendors are asked to certify compliance with a standard the system cannot meet, and face liability for secondary data use they had no power to prevent.</w:t>
      </w:r>
    </w:p>
    <w:p>
      <w:pPr>
        <w:spacing w:after="40" w:before="180"/>
      </w:pPr>
      <w:r>
        <w:rPr>
          <w:rFonts w:ascii="Palatino Linotype" w:cs="Palatino Linotype" w:eastAsia="Palatino Linotype" w:hAnsi="Palatino Linotype"/>
          <w:b/>
          <w:bCs/>
          <w:color w:val="1B2A4A"/>
          <w:sz w:val="21"/>
          <w:szCs w:val="21"/>
        </w:rPr>
        <w:t xml:space="preserve">Fragmentation: the cost is multiplicative, not additive.</w:t>
      </w:r>
    </w:p>
    <w:p>
      <w:pPr>
        <w:spacing w:after="60" w:before="60"/>
        <w:jc w:val="both"/>
      </w:pPr>
      <w:r>
        <w:rPr>
          <w:rFonts w:ascii="Georgia" w:cs="Georgia" w:eastAsia="Georgia" w:hAnsi="Georgia"/>
          <w:color w:val="1F2937"/>
          <w:sz w:val="20"/>
          <w:szCs w:val="20"/>
        </w:rPr>
        <w:t xml:space="preserve">Each additional jurisdiction with an incompatible framework does not add one unit of compliance cost. It multiplies the complexity of every decision that crosses state lines. Three states with three different partial frameworks produce edge cases requiring expensive legal analysis in every jurisdiction, compliance architectures that cannot be standardized, and pricing complexity that vendors pass back to government as higher contract costs. A uniform framework produces one compliance architecture, one audit standard, and competitive procurement conditions.</w:t>
      </w:r>
    </w:p>
    <w:p>
      <w:pPr>
        <w:pBdr>
          <w:left w:val="single" w:color="C9A84C" w:sz="12" w:space="12"/>
        </w:pBdr>
        <w:spacing w:after="180" w:before="180"/>
        <w:ind w:left="360" w:right="360"/>
      </w:pPr>
      <w:r>
        <w:rPr>
          <w:rFonts w:ascii="Georgia" w:cs="Georgia" w:eastAsia="Georgia" w:hAnsi="Georgia"/>
          <w:b/>
          <w:bCs/>
          <w:i/>
          <w:iCs/>
          <w:color w:val="1B2A4A"/>
          <w:sz w:val="20"/>
          <w:szCs w:val="20"/>
        </w:rPr>
        <w:t xml:space="preserve">The vendor's name is on the contract. The regulatory gap has no name. Legislative committees call the vendor. No one calls the gap. This asymmetry is structural and will not resolve itself without practitioner engagement.</w:t>
      </w:r>
    </w:p>
    <w:p>
      <w:pPr>
        <w:spacing w:after="80" w:before="280"/>
      </w:pPr>
      <w:r>
        <w:rPr>
          <w:rFonts w:ascii="Palatino Linotype" w:cs="Palatino Linotype" w:eastAsia="Palatino Linotype" w:hAnsi="Palatino Linotype"/>
          <w:b/>
          <w:bCs/>
          <w:caps/>
          <w:color w:val="C9A84C"/>
          <w:spacing w:val="30"/>
          <w:sz w:val="18"/>
          <w:szCs w:val="18"/>
        </w:rPr>
        <w:t xml:space="preserve">The Closing Ask</w:t>
      </w:r>
    </w:p>
    <w:p>
      <w:pPr>
        <w:spacing w:after="60" w:before="60"/>
        <w:jc w:val="both"/>
      </w:pPr>
      <w:r>
        <w:rPr>
          <w:rFonts w:ascii="Georgia" w:cs="Georgia" w:eastAsia="Georgia" w:hAnsi="Georgia"/>
          <w:color w:val="1F2937"/>
          <w:sz w:val="20"/>
          <w:szCs w:val="20"/>
        </w:rPr>
        <w:t xml:space="preserve">Three actions, not a lobbying program. First: map the legislative posture of your primary state markets. Identify which pieces of the framework are under consideration and which are absent. Second: assess your own architecture against the full VIDA, PDTA, and GAAFA requirements. Understand your gaps and your migration path. Third: make your technical expertise available to legislative staff and state technology officials in the states where you do business. You do not need to advocate for specific bill language. You need to explain what technically achievable compliance looks like.</w:t>
      </w:r>
    </w:p>
    <w:p>
      <w:pPr>
        <w:pBdr>
          <w:bottom w:val="single" w:color="E5E7EB" w:sz="2" w:space="1"/>
        </w:pBdr>
        <w:spacing w:after="160" w:before="160"/>
      </w:pPr>
      <w:r>
        <w:t xml:space="preserve"/>
      </w:r>
    </w:p>
    <w:p>
      <w:pPr>
        <w:spacing w:after="80" w:before="280"/>
      </w:pPr>
      <w:r>
        <w:rPr>
          <w:rFonts w:ascii="Palatino Linotype" w:cs="Palatino Linotype" w:eastAsia="Palatino Linotype" w:hAnsi="Palatino Linotype"/>
          <w:b/>
          <w:bCs/>
          <w:caps/>
          <w:color w:val="C9A84C"/>
          <w:spacing w:val="30"/>
          <w:sz w:val="18"/>
          <w:szCs w:val="18"/>
        </w:rPr>
        <w:t xml:space="preserve">What This Means for Your Work</w:t>
      </w:r>
    </w:p>
    <w:p>
      <w:pPr>
        <w:spacing w:after="40" w:before="180"/>
      </w:pPr>
      <w:r>
        <w:rPr>
          <w:rFonts w:ascii="Palatino Linotype" w:cs="Palatino Linotype" w:eastAsia="Palatino Linotype" w:hAnsi="Palatino Linotype"/>
          <w:b/>
          <w:bCs/>
          <w:color w:val="1B2A4A"/>
          <w:sz w:val="21"/>
          <w:szCs w:val="21"/>
        </w:rPr>
        <w:t xml:space="preserve">The visibility asymmetry is real and structural</w:t>
      </w:r>
    </w:p>
    <w:p>
      <w:pPr>
        <w:spacing w:after="60" w:before="60"/>
        <w:jc w:val="both"/>
      </w:pPr>
      <w:r>
        <w:rPr>
          <w:rFonts w:ascii="Georgia" w:cs="Georgia" w:eastAsia="Georgia" w:hAnsi="Georgia"/>
          <w:color w:val="1F2937"/>
          <w:sz w:val="20"/>
          <w:szCs w:val="20"/>
        </w:rPr>
        <w:t xml:space="preserve">When a government identity system fails, the vendor is visible and the regulatory gap is not. The contract is public record; the missing statutory provision built nothing and appears nowhere. Technical systems have owners; legislative omissions do not. Practitioners who engage with the legislative process to ensure complete enactment are protecting themselves from the consequences of gaps they had no hand in creating.</w:t>
      </w:r>
    </w:p>
    <w:p>
      <w:pPr>
        <w:spacing w:after="40" w:before="180"/>
      </w:pPr>
      <w:r>
        <w:rPr>
          <w:rFonts w:ascii="Palatino Linotype" w:cs="Palatino Linotype" w:eastAsia="Palatino Linotype" w:hAnsi="Palatino Linotype"/>
          <w:b/>
          <w:bCs/>
          <w:color w:val="1B2A4A"/>
          <w:sz w:val="21"/>
          <w:szCs w:val="21"/>
        </w:rPr>
        <w:t xml:space="preserve">Three arguments that land with government officials</w:t>
      </w:r>
    </w:p>
    <w:p>
      <w:pPr>
        <w:spacing w:after="100" w:before="100"/>
      </w:pPr>
      <w:r>
        <w:rPr>
          <w:rFonts w:ascii="Georgia" w:cs="Georgia" w:eastAsia="Georgia" w:hAnsi="Georgia"/>
          <w:b/>
          <w:bCs/>
          <w:color w:val="1B2A4A"/>
          <w:sz w:val="20"/>
          <w:szCs w:val="20"/>
        </w:rPr>
        <w:t xml:space="preserve">Incomplete enactment does not save money: </w:t>
      </w:r>
      <w:r>
        <w:rPr>
          <w:rFonts w:ascii="Georgia" w:cs="Georgia" w:eastAsia="Georgia" w:hAnsi="Georgia"/>
          <w:color w:val="1F2937"/>
          <w:sz w:val="20"/>
          <w:szCs w:val="20"/>
        </w:rPr>
        <w:t xml:space="preserve">architectural retrofit costs exceed implementation costs. Every gap closed later is closed more expensively.</w:t>
      </w:r>
    </w:p>
    <w:p>
      <w:pPr>
        <w:spacing w:after="100" w:before="100"/>
      </w:pPr>
      <w:r>
        <w:rPr>
          <w:rFonts w:ascii="Georgia" w:cs="Georgia" w:eastAsia="Georgia" w:hAnsi="Georgia"/>
          <w:b/>
          <w:bCs/>
          <w:color w:val="1B2A4A"/>
          <w:sz w:val="20"/>
          <w:szCs w:val="20"/>
        </w:rPr>
        <w:t xml:space="preserve">Fragmentation inflates government procurement costs: </w:t>
      </w:r>
      <w:r>
        <w:rPr>
          <w:rFonts w:ascii="Georgia" w:cs="Georgia" w:eastAsia="Georgia" w:hAnsi="Georgia"/>
          <w:color w:val="1F2937"/>
          <w:sz w:val="20"/>
          <w:szCs w:val="20"/>
        </w:rPr>
        <w:t xml:space="preserve">inconsistent frameworks mean vendors price multi-jurisdiction complexity into every RFP.</w:t>
      </w:r>
    </w:p>
    <w:p>
      <w:pPr>
        <w:spacing w:after="100" w:before="100"/>
      </w:pPr>
      <w:r>
        <w:rPr>
          <w:rFonts w:ascii="Georgia" w:cs="Georgia" w:eastAsia="Georgia" w:hAnsi="Georgia"/>
          <w:b/>
          <w:bCs/>
          <w:color w:val="1B2A4A"/>
          <w:sz w:val="20"/>
          <w:szCs w:val="20"/>
        </w:rPr>
        <w:t xml:space="preserve">The framework is constitutional compliance, not regulatory burden: </w:t>
      </w:r>
      <w:r>
        <w:rPr>
          <w:rFonts w:ascii="Georgia" w:cs="Georgia" w:eastAsia="Georgia" w:hAnsi="Georgia"/>
          <w:color w:val="1F2937"/>
          <w:sz w:val="20"/>
          <w:szCs w:val="20"/>
        </w:rPr>
        <w:t xml:space="preserve">VIDA, PDTA, and GAAFA codify obligations the Fourth Amendment has always required.</w:t>
      </w:r>
    </w:p>
    <w:p>
      <w:pPr>
        <w:spacing w:after="40" w:before="180"/>
      </w:pPr>
      <w:r>
        <w:rPr>
          <w:rFonts w:ascii="Palatino Linotype" w:cs="Palatino Linotype" w:eastAsia="Palatino Linotype" w:hAnsi="Palatino Linotype"/>
          <w:b/>
          <w:bCs/>
          <w:color w:val="1B2A4A"/>
          <w:sz w:val="21"/>
          <w:szCs w:val="21"/>
        </w:rPr>
        <w:t xml:space="preserve">The conversation with your state CIO</w:t>
      </w:r>
    </w:p>
    <w:p>
      <w:pPr>
        <w:spacing w:after="60" w:before="60"/>
        <w:jc w:val="both"/>
      </w:pPr>
      <w:r>
        <w:rPr>
          <w:rFonts w:ascii="Georgia" w:cs="Georgia" w:eastAsia="Georgia" w:hAnsi="Georgia"/>
          <w:color w:val="1F2937"/>
          <w:sz w:val="20"/>
          <w:szCs w:val="20"/>
        </w:rPr>
        <w:t xml:space="preserve">You build identity systems for a living and have a direct stake in whether the regulatory environment is coherent. The bills mandate standards that deployed systems already use or are actively moving toward. Partial enactment costs more to fix later. When you hear 'we already have privacy laws,' the response is that fiduciary duty is a higher standard than notice-and-consent. When you hear 'we will address this in rulemaking,' the response is that rulemaking without statutory foundation produces inconsistent results harder to comply with than clear legislation.</w:t>
      </w:r>
    </w:p>
    <w:p>
      <w:pPr>
        <w:pBdr>
          <w:bottom w:val="single" w:color="E5E7EB" w:sz="2" w:space="1"/>
        </w:pBdr>
        <w:spacing w:after="160" w:before="160"/>
      </w:pPr>
      <w:r>
        <w:t xml:space="preserve"/>
      </w:r>
    </w:p>
    <w:p>
      <w:pPr>
        <w:spacing w:after="80" w:before="280"/>
      </w:pPr>
      <w:r>
        <w:rPr>
          <w:rFonts w:ascii="Palatino Linotype" w:cs="Palatino Linotype" w:eastAsia="Palatino Linotype" w:hAnsi="Palatino Linotype"/>
          <w:b/>
          <w:bCs/>
          <w:caps/>
          <w:color w:val="C9A84C"/>
          <w:spacing w:val="30"/>
          <w:sz w:val="18"/>
          <w:szCs w:val="18"/>
        </w:rPr>
        <w:t xml:space="preserve">Key Terms</w:t>
      </w:r>
    </w:p>
    <w:p>
      <w:pPr>
        <w:spacing w:after="20" w:before="140"/>
      </w:pPr>
      <w:r>
        <w:rPr>
          <w:rFonts w:ascii="Georgia" w:cs="Georgia" w:eastAsia="Georgia" w:hAnsi="Georgia"/>
          <w:b/>
          <w:bCs/>
          <w:color w:val="1B2A4A"/>
          <w:sz w:val="19"/>
          <w:szCs w:val="19"/>
        </w:rPr>
        <w:t xml:space="preserve">Verification Metadata</w:t>
      </w:r>
    </w:p>
    <w:p>
      <w:pPr>
        <w:spacing w:after="80" w:before="0"/>
      </w:pPr>
      <w:r>
        <w:rPr>
          <w:rFonts w:ascii="Georgia" w:cs="Georgia" w:eastAsia="Georgia" w:hAnsi="Georgia"/>
          <w:color w:val="4B5563"/>
          <w:sz w:val="18"/>
          <w:szCs w:val="18"/>
        </w:rPr>
        <w:t xml:space="preserve">The transactional record created when a credential is presented: who presented, to which verifier, when, where. Unprotected by VIDA alone. The surveillance residue that PDTA is designed to govern.</w:t>
      </w:r>
    </w:p>
    <w:p>
      <w:pPr>
        <w:spacing w:after="20" w:before="140"/>
      </w:pPr>
      <w:r>
        <w:rPr>
          <w:rFonts w:ascii="Georgia" w:cs="Georgia" w:eastAsia="Georgia" w:hAnsi="Georgia"/>
          <w:b/>
          <w:bCs/>
          <w:color w:val="1B2A4A"/>
          <w:sz w:val="19"/>
          <w:szCs w:val="19"/>
        </w:rPr>
        <w:t xml:space="preserve">Purpose Limitation</w:t>
      </w:r>
    </w:p>
    <w:p>
      <w:pPr>
        <w:spacing w:after="80" w:before="0"/>
      </w:pPr>
      <w:r>
        <w:rPr>
          <w:rFonts w:ascii="Georgia" w:cs="Georgia" w:eastAsia="Georgia" w:hAnsi="Georgia"/>
          <w:color w:val="4B5563"/>
          <w:sz w:val="18"/>
          <w:szCs w:val="18"/>
        </w:rPr>
        <w:t xml:space="preserve">The PDTA requirement that data collected for one purpose may not be used for another. Enforced through both legal duty and, under a complete framework, architectural controls that gate access by stated purpose.</w:t>
      </w:r>
    </w:p>
    <w:p>
      <w:pPr>
        <w:spacing w:after="20" w:before="140"/>
      </w:pPr>
      <w:r>
        <w:rPr>
          <w:rFonts w:ascii="Georgia" w:cs="Georgia" w:eastAsia="Georgia" w:hAnsi="Georgia"/>
          <w:b/>
          <w:bCs/>
          <w:color w:val="1B2A4A"/>
          <w:sz w:val="19"/>
          <w:szCs w:val="19"/>
        </w:rPr>
        <w:t xml:space="preserve">Solution Bias</w:t>
      </w:r>
    </w:p>
    <w:p>
      <w:pPr>
        <w:spacing w:after="80" w:before="0"/>
      </w:pPr>
      <w:r>
        <w:rPr>
          <w:rFonts w:ascii="Georgia" w:cs="Georgia" w:eastAsia="Georgia" w:hAnsi="Georgia"/>
          <w:color w:val="4B5563"/>
          <w:sz w:val="18"/>
          <w:szCs w:val="18"/>
        </w:rPr>
        <w:t xml:space="preserve">The tendency of procurement specifications to describe technical means rather than functional outcomes, excluding innovative approaches before evaluation begins. Article 3B addresses this through outcome-based specifications.</w:t>
      </w:r>
    </w:p>
    <w:p>
      <w:pPr>
        <w:spacing w:after="20" w:before="140"/>
      </w:pPr>
      <w:r>
        <w:rPr>
          <w:rFonts w:ascii="Georgia" w:cs="Georgia" w:eastAsia="Georgia" w:hAnsi="Georgia"/>
          <w:b/>
          <w:bCs/>
          <w:color w:val="1B2A4A"/>
          <w:sz w:val="19"/>
          <w:szCs w:val="19"/>
        </w:rPr>
        <w:t xml:space="preserve">Fragmentation Risk</w:t>
      </w:r>
    </w:p>
    <w:p>
      <w:pPr>
        <w:spacing w:after="80" w:before="0"/>
      </w:pPr>
      <w:r>
        <w:rPr>
          <w:rFonts w:ascii="Georgia" w:cs="Georgia" w:eastAsia="Georgia" w:hAnsi="Georgia"/>
          <w:color w:val="4B5563"/>
          <w:sz w:val="18"/>
          <w:szCs w:val="18"/>
        </w:rPr>
        <w:t xml:space="preserve">The commercial and legal cost of inconsistent state-by-state enactment of the framework. Each incompatible jurisdiction multiplies rather than adds compliance complexity.</w:t>
      </w:r>
    </w:p>
    <w:p>
      <w:pPr>
        <w:spacing w:after="20" w:before="140"/>
      </w:pPr>
      <w:r>
        <w:rPr>
          <w:rFonts w:ascii="Georgia" w:cs="Georgia" w:eastAsia="Georgia" w:hAnsi="Georgia"/>
          <w:b/>
          <w:bCs/>
          <w:color w:val="1B2A4A"/>
          <w:sz w:val="19"/>
          <w:szCs w:val="19"/>
        </w:rPr>
        <w:t xml:space="preserve">Flow-Down Clause</w:t>
      </w:r>
    </w:p>
    <w:p>
      <w:pPr>
        <w:spacing w:after="80" w:before="0"/>
      </w:pPr>
      <w:r>
        <w:rPr>
          <w:rFonts w:ascii="Georgia" w:cs="Georgia" w:eastAsia="Georgia" w:hAnsi="Georgia"/>
          <w:color w:val="4B5563"/>
          <w:sz w:val="18"/>
          <w:szCs w:val="18"/>
        </w:rPr>
        <w:t xml:space="preserve">A contractual provision that extends the prime contractor's obligations to subcontractors, naming the government as a third-party beneficiary. Required under Article 3B to ensure fiduciary data obligations reach every entity in the contracting chain.</w:t>
      </w:r>
    </w:p>
    <w:p>
      <w:pPr>
        <w:spacing w:after="20" w:before="140"/>
      </w:pPr>
      <w:r>
        <w:rPr>
          <w:rFonts w:ascii="Georgia" w:cs="Georgia" w:eastAsia="Georgia" w:hAnsi="Georgia"/>
          <w:b/>
          <w:bCs/>
          <w:color w:val="1B2A4A"/>
          <w:sz w:val="19"/>
          <w:szCs w:val="19"/>
        </w:rPr>
        <w:t xml:space="preserve">GAAFA (Government AI Accountability and Fiduciary Act)</w:t>
      </w:r>
    </w:p>
    <w:p>
      <w:pPr>
        <w:spacing w:after="80" w:before="0"/>
      </w:pPr>
      <w:r>
        <w:rPr>
          <w:rFonts w:ascii="Georgia" w:cs="Georgia" w:eastAsia="Georgia" w:hAnsi="Georgia"/>
          <w:color w:val="4B5563"/>
          <w:sz w:val="18"/>
          <w:szCs w:val="18"/>
        </w:rPr>
        <w:t xml:space="preserve">Model statute extending fiduciary duties to the AI layer: algorithmic impact assessments, public registries, explainability duties, and prohibition on inference-based reconstruction of data government had no right to collect.</w:t>
      </w:r>
    </w:p>
    <w:p>
      <w:pPr>
        <w:pBdr>
          <w:top w:val="single" w:color="E5E7EB" w:sz="2" w:space="4"/>
        </w:pBdr>
        <w:spacing w:after="0" w:before="280"/>
      </w:pPr>
      <w:r>
        <w:rPr>
          <w:rFonts w:ascii="Georgia" w:cs="Georgia" w:eastAsia="Georgia" w:hAnsi="Georgia"/>
          <w:i/>
          <w:iCs/>
          <w:color w:val="4B5563"/>
          <w:sz w:val="16"/>
          <w:szCs w:val="16"/>
        </w:rPr>
        <w:t xml:space="preserve">fiduciarycommons.com  |  michael@fiduciarycommons.com  |  For the full argument, see the Fiduciary Commons Series Summary.</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2026-04-25T22:01:27.950Z</dcterms:created>
  <dcterms:modified xsi:type="dcterms:W3CDTF">2026-04-25T22:01:27.950Z</dcterms:modified>
</cp:coreProperties>
</file>

<file path=docProps/custom.xml><?xml version="1.0" encoding="utf-8"?>
<Properties xmlns="http://schemas.openxmlformats.org/officeDocument/2006/custom-properties" xmlns:vt="http://schemas.openxmlformats.org/officeDocument/2006/docPropsVTypes"/>
</file>