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Palatino Linotype" w:cs="Palatino Linotype" w:eastAsia="Palatino Linotype" w:hAnsi="Palatino Linotype"/>
          <w:b/>
          <w:bCs/>
          <w:caps/>
          <w:color w:val="C9A84C"/>
          <w:spacing w:val="40"/>
          <w:sz w:val="16"/>
          <w:szCs w:val="16"/>
        </w:rPr>
        <w:t xml:space="preserve">The Fiduciary Commons  |  Session 1 of 3</w:t>
      </w:r>
    </w:p>
    <w:p>
      <w:pPr>
        <w:spacing w:after="80" w:before="0"/>
      </w:pPr>
      <w:r>
        <w:rPr>
          <w:rFonts w:ascii="Palatino Linotype" w:cs="Palatino Linotype" w:eastAsia="Palatino Linotype" w:hAnsi="Palatino Linotype"/>
          <w:b/>
          <w:bCs/>
          <w:color w:val="1B2A4A"/>
          <w:sz w:val="32"/>
          <w:szCs w:val="32"/>
        </w:rPr>
        <w:t xml:space="preserve">From Principles to Law</w:t>
      </w:r>
    </w:p>
    <w:p>
      <w:pPr>
        <w:spacing w:after="240" w:before="0"/>
      </w:pPr>
      <w:r>
        <w:rPr>
          <w:rFonts w:ascii="Georgia" w:cs="Georgia" w:eastAsia="Georgia" w:hAnsi="Georgia"/>
          <w:i/>
          <w:iCs/>
          <w:color w:val="4B5563"/>
          <w:sz w:val="20"/>
          <w:szCs w:val="20"/>
        </w:rPr>
        <w:t xml:space="preserve">What Utah Enacted, What Remains, and a Roadmap for Other States</w:t>
      </w:r>
    </w:p>
    <w:p>
      <w:pPr>
        <w:pBdr>
          <w:bottom w:val="single" w:color="C9A84C" w:sz="6" w:space="1"/>
        </w:pBdr>
        <w:spacing w:after="200" w:before="0"/>
      </w:pPr>
      <w:r>
        <w:t xml:space="preserve"/>
      </w:r>
    </w:p>
    <w:p>
      <w:pPr>
        <w:spacing w:after="80" w:before="280"/>
      </w:pPr>
      <w:r>
        <w:rPr>
          <w:rFonts w:ascii="Palatino Linotype" w:cs="Palatino Linotype" w:eastAsia="Palatino Linotype" w:hAnsi="Palatino Linotype"/>
          <w:b/>
          <w:bCs/>
          <w:caps/>
          <w:color w:val="C9A84C"/>
          <w:spacing w:val="30"/>
          <w:sz w:val="18"/>
          <w:szCs w:val="18"/>
        </w:rPr>
        <w:t xml:space="preserve">What This Session Argued</w:t>
      </w:r>
    </w:p>
    <w:p>
      <w:pPr>
        <w:spacing w:after="60" w:before="60"/>
        <w:jc w:val="both"/>
      </w:pPr>
      <w:r>
        <w:rPr>
          <w:rFonts w:ascii="Georgia" w:cs="Georgia" w:eastAsia="Georgia" w:hAnsi="Georgia"/>
          <w:color w:val="1F2937"/>
          <w:sz w:val="20"/>
          <w:szCs w:val="20"/>
        </w:rPr>
        <w:t xml:space="preserve">Government holds citizen data not as a property owner but as a constitutional fiduciary, bound by duties of loyalty, care, and transparency. This is a pre-existing obligation embedded in the constitutional structure by the framers. The Fiduciary Commons framework makes it operational through three model statutes. Utah enacted the first two unanimously in 2025 and 2026, establishing the first statutory codification of government data fiduciary duties in American state law. The gaps in Utah's framework, and the roadmap for other states to complete it, define the next phase of the work.</w:t>
      </w:r>
    </w:p>
    <w:p>
      <w:pPr>
        <w:spacing w:after="80" w:before="280"/>
      </w:pPr>
      <w:r>
        <w:rPr>
          <w:rFonts w:ascii="Palatino Linotype" w:cs="Palatino Linotype" w:eastAsia="Palatino Linotype" w:hAnsi="Palatino Linotype"/>
          <w:b/>
          <w:bCs/>
          <w:caps/>
          <w:color w:val="C9A84C"/>
          <w:spacing w:val="30"/>
          <w:sz w:val="18"/>
          <w:szCs w:val="18"/>
        </w:rPr>
        <w:t xml:space="preserve">Four Ideas Worth Keeping</w:t>
      </w:r>
    </w:p>
    <w:p>
      <w:pPr>
        <w:spacing w:after="40" w:before="180"/>
      </w:pPr>
      <w:r>
        <w:rPr>
          <w:rFonts w:ascii="Palatino Linotype" w:cs="Palatino Linotype" w:eastAsia="Palatino Linotype" w:hAnsi="Palatino Linotype"/>
          <w:b/>
          <w:bCs/>
          <w:color w:val="1B2A4A"/>
          <w:sz w:val="21"/>
          <w:szCs w:val="21"/>
        </w:rPr>
        <w:t xml:space="preserve">Facts cannot be owned.</w:t>
      </w:r>
    </w:p>
    <w:p>
      <w:pPr>
        <w:spacing w:after="60" w:before="60"/>
        <w:jc w:val="both"/>
      </w:pPr>
      <w:r>
        <w:rPr>
          <w:rFonts w:ascii="Georgia" w:cs="Georgia" w:eastAsia="Georgia" w:hAnsi="Georgia"/>
          <w:color w:val="1F2937"/>
          <w:sz w:val="20"/>
          <w:szCs w:val="20"/>
        </w:rPr>
        <w:t xml:space="preserve">The Supreme Court confirmed in Feist Publications (1991) that facts are discovered, not created, and belong to no one. A database may be proprietary; the facts inside it are not. 'Data ownership' is a category error that confuses control over a container with title to the content. The Fiduciary Commons framework begins by correcting that error.</w:t>
      </w:r>
    </w:p>
    <w:p>
      <w:pPr>
        <w:spacing w:after="40" w:before="180"/>
      </w:pPr>
      <w:r>
        <w:rPr>
          <w:rFonts w:ascii="Palatino Linotype" w:cs="Palatino Linotype" w:eastAsia="Palatino Linotype" w:hAnsi="Palatino Linotype"/>
          <w:b/>
          <w:bCs/>
          <w:color w:val="1B2A4A"/>
          <w:sz w:val="21"/>
          <w:szCs w:val="21"/>
        </w:rPr>
        <w:t xml:space="preserve">Every commons requires a trustee.</w:t>
      </w:r>
    </w:p>
    <w:p>
      <w:pPr>
        <w:spacing w:after="60" w:before="60"/>
        <w:jc w:val="both"/>
      </w:pPr>
      <w:r>
        <w:rPr>
          <w:rFonts w:ascii="Georgia" w:cs="Georgia" w:eastAsia="Georgia" w:hAnsi="Georgia"/>
          <w:color w:val="1F2937"/>
          <w:sz w:val="20"/>
          <w:szCs w:val="20"/>
        </w:rPr>
        <w:t xml:space="preserve">Air and navigable water are held in public trust because no one owns them and everyone depends on them. Facts and data have the same structure: non-rivalrous, non-depletable, flowing through every institution. The public trust doctrine, established in Illinois Central Railroad v. Illinois (1892), provides the governance model. Government holds citizen data as a trustee with defined duties, not as a property owner with defined rights.</w:t>
      </w:r>
    </w:p>
    <w:p>
      <w:pPr>
        <w:spacing w:after="40" w:before="180"/>
      </w:pPr>
      <w:r>
        <w:rPr>
          <w:rFonts w:ascii="Palatino Linotype" w:cs="Palatino Linotype" w:eastAsia="Palatino Linotype" w:hAnsi="Palatino Linotype"/>
          <w:b/>
          <w:bCs/>
          <w:color w:val="1B2A4A"/>
          <w:sz w:val="21"/>
          <w:szCs w:val="21"/>
        </w:rPr>
        <w:t xml:space="preserve">Utah proved the argument works.</w:t>
      </w:r>
    </w:p>
    <w:p>
      <w:pPr>
        <w:spacing w:after="60" w:before="60"/>
        <w:jc w:val="both"/>
      </w:pPr>
      <w:r>
        <w:rPr>
          <w:rFonts w:ascii="Georgia" w:cs="Georgia" w:eastAsia="Georgia" w:hAnsi="Georgia"/>
          <w:color w:val="1F2937"/>
          <w:sz w:val="20"/>
          <w:szCs w:val="20"/>
        </w:rPr>
        <w:t xml:space="preserve">SB 260 (2025) established digital identity rights: selective disclosure, prohibition on server retrieval, individual control over credentials. SB 275 (2026) codified data fiduciary duties: purpose limitation, data minimization, a digital bill of rights. Both passed unanimously in a polarized environment. Their independent convergence with the Fiduciary Commons framework validates the underlying logic. The critical remaining gap: no private right of action. AG-only enforcement is a suggestion, not a mechanism.</w:t>
      </w:r>
    </w:p>
    <w:p>
      <w:pPr>
        <w:spacing w:after="40" w:before="180"/>
      </w:pPr>
      <w:r>
        <w:rPr>
          <w:rFonts w:ascii="Palatino Linotype" w:cs="Palatino Linotype" w:eastAsia="Palatino Linotype" w:hAnsi="Palatino Linotype"/>
          <w:b/>
          <w:bCs/>
          <w:color w:val="1B2A4A"/>
          <w:sz w:val="21"/>
          <w:szCs w:val="21"/>
        </w:rPr>
        <w:t xml:space="preserve">The digital general warrant is the constitutional threat.</w:t>
      </w:r>
    </w:p>
    <w:p>
      <w:pPr>
        <w:spacing w:after="60" w:before="60"/>
        <w:jc w:val="both"/>
      </w:pPr>
      <w:r>
        <w:rPr>
          <w:rFonts w:ascii="Georgia" w:cs="Georgia" w:eastAsia="Georgia" w:hAnsi="Georgia"/>
          <w:color w:val="1F2937"/>
          <w:sz w:val="20"/>
          <w:szCs w:val="20"/>
        </w:rPr>
        <w:t xml:space="preserve">The Fourth Amendment was written to prohibit general warrants: authority to search anyone, anywhere, for anything. Government databases that aggregate citizen data without individualized suspicion are the digital equivalent. The Fiduciary Commons framework is, in part, the constitutional corrective: if government holds citizen data as a trustee, the surveillance that digital general warrants enable is a breach of fiduciary duty, not merely a policy problem.</w:t>
      </w:r>
    </w:p>
    <w:p>
      <w:pPr>
        <w:pBdr>
          <w:left w:val="single" w:color="C9A84C" w:sz="12" w:space="12"/>
        </w:pBdr>
        <w:spacing w:after="180" w:before="180"/>
        <w:ind w:left="360" w:right="360"/>
      </w:pPr>
      <w:r>
        <w:rPr>
          <w:rFonts w:ascii="Georgia" w:cs="Georgia" w:eastAsia="Georgia" w:hAnsi="Georgia"/>
          <w:b/>
          <w:bCs/>
          <w:i/>
          <w:iCs/>
          <w:color w:val="1B2A4A"/>
          <w:sz w:val="20"/>
          <w:szCs w:val="20"/>
        </w:rPr>
        <w:t xml:space="preserve">The question is not whether this framework becomes law. The direction of travel is established. The question is whether your systems are ready when it does.</w:t>
      </w:r>
    </w:p>
    <w:p>
      <w:pPr>
        <w:spacing w:after="80" w:before="280"/>
      </w:pPr>
      <w:r>
        <w:rPr>
          <w:rFonts w:ascii="Palatino Linotype" w:cs="Palatino Linotype" w:eastAsia="Palatino Linotype" w:hAnsi="Palatino Linotype"/>
          <w:b/>
          <w:bCs/>
          <w:caps/>
          <w:color w:val="C9A84C"/>
          <w:spacing w:val="30"/>
          <w:sz w:val="18"/>
          <w:szCs w:val="18"/>
        </w:rPr>
        <w:t xml:space="preserve">The Closing Ask</w:t>
      </w:r>
    </w:p>
    <w:p>
      <w:pPr>
        <w:spacing w:after="60" w:before="60"/>
        <w:jc w:val="both"/>
      </w:pPr>
      <w:r>
        <w:rPr>
          <w:rFonts w:ascii="Georgia" w:cs="Georgia" w:eastAsia="Georgia" w:hAnsi="Georgia"/>
          <w:color w:val="1F2937"/>
          <w:sz w:val="20"/>
          <w:szCs w:val="20"/>
        </w:rPr>
        <w:t xml:space="preserve">Engage with the legislative process in your primary state markets. You have standing with state CIOs and legislative staff that policy advocates do not. The three-stage roadmap is clear: enact the Utah baseline, add the private right of action and enforcement architecture, enact GAAFA. The template exists. The political path has been proven. Your technical credibility is the missing ingredient.</w:t>
      </w:r>
    </w:p>
    <w:p>
      <w:pPr>
        <w:pBdr>
          <w:bottom w:val="single" w:color="E5E7EB" w:sz="2" w:space="1"/>
        </w:pBdr>
        <w:spacing w:after="160" w:before="160"/>
      </w:pPr>
      <w:r>
        <w:t xml:space="preserve"/>
      </w:r>
    </w:p>
    <w:p>
      <w:pPr>
        <w:spacing w:after="80" w:before="280"/>
      </w:pPr>
      <w:r>
        <w:rPr>
          <w:rFonts w:ascii="Palatino Linotype" w:cs="Palatino Linotype" w:eastAsia="Palatino Linotype" w:hAnsi="Palatino Linotype"/>
          <w:b/>
          <w:bCs/>
          <w:caps/>
          <w:color w:val="C9A84C"/>
          <w:spacing w:val="30"/>
          <w:sz w:val="18"/>
          <w:szCs w:val="18"/>
        </w:rPr>
        <w:t xml:space="preserve">What This Means for Your Work</w:t>
      </w:r>
    </w:p>
    <w:p>
      <w:pPr>
        <w:spacing w:after="40" w:before="180"/>
      </w:pPr>
      <w:r>
        <w:rPr>
          <w:rFonts w:ascii="Palatino Linotype" w:cs="Palatino Linotype" w:eastAsia="Palatino Linotype" w:hAnsi="Palatino Linotype"/>
          <w:b/>
          <w:bCs/>
          <w:color w:val="1B2A4A"/>
          <w:sz w:val="21"/>
          <w:szCs w:val="21"/>
        </w:rPr>
        <w:t xml:space="preserve">For identity vendors</w:t>
      </w:r>
    </w:p>
    <w:p>
      <w:pPr>
        <w:spacing w:after="60" w:before="60"/>
        <w:jc w:val="both"/>
      </w:pPr>
      <w:r>
        <w:rPr>
          <w:rFonts w:ascii="Georgia" w:cs="Georgia" w:eastAsia="Georgia" w:hAnsi="Georgia"/>
          <w:color w:val="1F2937"/>
          <w:sz w:val="20"/>
          <w:szCs w:val="20"/>
        </w:rPr>
        <w:t xml:space="preserve">SB 260's phone-home prohibition is a direct architectural requirement: mobile credentials that report back to a central server each time they are presented are prohibited by law in Utah. That prohibition will spread. Systems designed for selective disclosure and non-retrieval architectures from the outset are cheaper to build and legally more durable than retrofitted ones. Audit trails and revocability are not optional features; they will be baseline requirements.</w:t>
      </w:r>
    </w:p>
    <w:p>
      <w:pPr>
        <w:spacing w:after="40" w:before="180"/>
      </w:pPr>
      <w:r>
        <w:rPr>
          <w:rFonts w:ascii="Palatino Linotype" w:cs="Palatino Linotype" w:eastAsia="Palatino Linotype" w:hAnsi="Palatino Linotype"/>
          <w:b/>
          <w:bCs/>
          <w:color w:val="1B2A4A"/>
          <w:sz w:val="21"/>
          <w:szCs w:val="21"/>
        </w:rPr>
        <w:t xml:space="preserve">For protocol designers</w:t>
      </w:r>
    </w:p>
    <w:p>
      <w:pPr>
        <w:spacing w:after="60" w:before="60"/>
        <w:jc w:val="both"/>
      </w:pPr>
      <w:r>
        <w:rPr>
          <w:rFonts w:ascii="Georgia" w:cs="Georgia" w:eastAsia="Georgia" w:hAnsi="Georgia"/>
          <w:color w:val="1F2937"/>
          <w:sz w:val="20"/>
          <w:szCs w:val="20"/>
        </w:rPr>
        <w:t xml:space="preserve">The interoperability requirements in SB 260 create a direct connection between the statutory framework and the standards you are developing. Standards that conflict with statutory fiduciary requirements will require revision when those requirements become law in adopting states. ISO 18013-5's server retrieval capability is a specific example: that capability is what SB 260 prohibits. Early alignment between technical standards and statutory requirements avoids costly divergence later.</w:t>
      </w:r>
    </w:p>
    <w:p>
      <w:pPr>
        <w:spacing w:after="40" w:before="180"/>
      </w:pPr>
      <w:r>
        <w:rPr>
          <w:rFonts w:ascii="Palatino Linotype" w:cs="Palatino Linotype" w:eastAsia="Palatino Linotype" w:hAnsi="Palatino Linotype"/>
          <w:b/>
          <w:bCs/>
          <w:color w:val="1B2A4A"/>
          <w:sz w:val="21"/>
          <w:szCs w:val="21"/>
        </w:rPr>
        <w:t xml:space="preserve">For standards bodies and foundations</w:t>
      </w:r>
    </w:p>
    <w:p>
      <w:pPr>
        <w:spacing w:after="60" w:before="60"/>
        <w:jc w:val="both"/>
      </w:pPr>
      <w:r>
        <w:rPr>
          <w:rFonts w:ascii="Georgia" w:cs="Georgia" w:eastAsia="Georgia" w:hAnsi="Georgia"/>
          <w:color w:val="1F2937"/>
          <w:sz w:val="20"/>
          <w:szCs w:val="20"/>
        </w:rPr>
        <w:t xml:space="preserve">The rulemaking processes that will define technical compliance standards under SB 260 and SB 275 are open. Your participation shapes what technically achievable compliance looks like. Abstract academic participation is less influential than input from organizations that have deployed these systems at scale. The window for that input is now, while rulemaking is being established, not after compliance standards are fixed.</w:t>
      </w:r>
    </w:p>
    <w:p>
      <w:pPr>
        <w:pBdr>
          <w:bottom w:val="single" w:color="E5E7EB" w:sz="2" w:space="1"/>
        </w:pBdr>
        <w:spacing w:after="160" w:before="160"/>
      </w:pPr>
      <w:r>
        <w:t xml:space="preserve"/>
      </w:r>
    </w:p>
    <w:p>
      <w:pPr>
        <w:spacing w:after="80" w:before="280"/>
      </w:pPr>
      <w:r>
        <w:rPr>
          <w:rFonts w:ascii="Palatino Linotype" w:cs="Palatino Linotype" w:eastAsia="Palatino Linotype" w:hAnsi="Palatino Linotype"/>
          <w:b/>
          <w:bCs/>
          <w:caps/>
          <w:color w:val="C9A84C"/>
          <w:spacing w:val="30"/>
          <w:sz w:val="18"/>
          <w:szCs w:val="18"/>
        </w:rPr>
        <w:t xml:space="preserve">Key Terms</w:t>
      </w:r>
    </w:p>
    <w:p>
      <w:pPr>
        <w:spacing w:after="20" w:before="140"/>
      </w:pPr>
      <w:r>
        <w:rPr>
          <w:rFonts w:ascii="Georgia" w:cs="Georgia" w:eastAsia="Georgia" w:hAnsi="Georgia"/>
          <w:b/>
          <w:bCs/>
          <w:color w:val="1B2A4A"/>
          <w:sz w:val="19"/>
          <w:szCs w:val="19"/>
        </w:rPr>
        <w:t xml:space="preserve">Fiduciary Duty</w:t>
      </w:r>
    </w:p>
    <w:p>
      <w:pPr>
        <w:spacing w:after="80" w:before="0"/>
      </w:pPr>
      <w:r>
        <w:rPr>
          <w:rFonts w:ascii="Georgia" w:cs="Georgia" w:eastAsia="Georgia" w:hAnsi="Georgia"/>
          <w:color w:val="4B5563"/>
          <w:sz w:val="18"/>
          <w:szCs w:val="18"/>
        </w:rPr>
        <w:t xml:space="preserve">A legal obligation requiring a person or institution that holds power over something on behalf of another to act in the beneficiary's interest, with duties of loyalty, care, and transparency.</w:t>
      </w:r>
    </w:p>
    <w:p>
      <w:pPr>
        <w:spacing w:after="20" w:before="140"/>
      </w:pPr>
      <w:r>
        <w:rPr>
          <w:rFonts w:ascii="Georgia" w:cs="Georgia" w:eastAsia="Georgia" w:hAnsi="Georgia"/>
          <w:b/>
          <w:bCs/>
          <w:color w:val="1B2A4A"/>
          <w:sz w:val="19"/>
          <w:szCs w:val="19"/>
        </w:rPr>
        <w:t xml:space="preserve">VIDA (Verified Identity Data Act)</w:t>
      </w:r>
    </w:p>
    <w:p>
      <w:pPr>
        <w:spacing w:after="80" w:before="0"/>
      </w:pPr>
      <w:r>
        <w:rPr>
          <w:rFonts w:ascii="Georgia" w:cs="Georgia" w:eastAsia="Georgia" w:hAnsi="Georgia"/>
          <w:color w:val="4B5563"/>
          <w:sz w:val="18"/>
          <w:szCs w:val="18"/>
        </w:rPr>
        <w:t xml:space="preserve">Model statute establishing digital identity rights: selective disclosure, prohibition on server retrieval, individual control over credentials, and interoperability requirements.</w:t>
      </w:r>
    </w:p>
    <w:p>
      <w:pPr>
        <w:spacing w:after="20" w:before="140"/>
      </w:pPr>
      <w:r>
        <w:rPr>
          <w:rFonts w:ascii="Georgia" w:cs="Georgia" w:eastAsia="Georgia" w:hAnsi="Georgia"/>
          <w:b/>
          <w:bCs/>
          <w:color w:val="1B2A4A"/>
          <w:sz w:val="19"/>
          <w:szCs w:val="19"/>
        </w:rPr>
        <w:t xml:space="preserve">PDTA (Personal Data Trusteeship Act)</w:t>
      </w:r>
    </w:p>
    <w:p>
      <w:pPr>
        <w:spacing w:after="80" w:before="0"/>
      </w:pPr>
      <w:r>
        <w:rPr>
          <w:rFonts w:ascii="Georgia" w:cs="Georgia" w:eastAsia="Georgia" w:hAnsi="Georgia"/>
          <w:color w:val="4B5563"/>
          <w:sz w:val="18"/>
          <w:szCs w:val="18"/>
        </w:rPr>
        <w:t xml:space="preserve">Model statute codifying government data fiduciary duties: purpose limitation, data minimization, audit trail requirements, and individual rights of access and correction.</w:t>
      </w:r>
    </w:p>
    <w:p>
      <w:pPr>
        <w:spacing w:after="20" w:before="140"/>
      </w:pPr>
      <w:r>
        <w:rPr>
          <w:rFonts w:ascii="Georgia" w:cs="Georgia" w:eastAsia="Georgia" w:hAnsi="Georgia"/>
          <w:b/>
          <w:bCs/>
          <w:color w:val="1B2A4A"/>
          <w:sz w:val="19"/>
          <w:szCs w:val="19"/>
        </w:rPr>
        <w:t xml:space="preserve">Selective Disclosure</w:t>
      </w:r>
    </w:p>
    <w:p>
      <w:pPr>
        <w:spacing w:after="80" w:before="0"/>
      </w:pPr>
      <w:r>
        <w:rPr>
          <w:rFonts w:ascii="Georgia" w:cs="Georgia" w:eastAsia="Georgia" w:hAnsi="Georgia"/>
          <w:color w:val="4B5563"/>
          <w:sz w:val="18"/>
          <w:szCs w:val="18"/>
        </w:rPr>
        <w:t xml:space="preserve">A credential architecture that allows a citizen to prove a specific fact (age over 21, professional license) without revealing the underlying data or any other information in the credential.</w:t>
      </w:r>
    </w:p>
    <w:p>
      <w:pPr>
        <w:spacing w:after="20" w:before="140"/>
      </w:pPr>
      <w:r>
        <w:rPr>
          <w:rFonts w:ascii="Georgia" w:cs="Georgia" w:eastAsia="Georgia" w:hAnsi="Georgia"/>
          <w:b/>
          <w:bCs/>
          <w:color w:val="1B2A4A"/>
          <w:sz w:val="19"/>
          <w:szCs w:val="19"/>
        </w:rPr>
        <w:t xml:space="preserve">Phone-Home Prohibition</w:t>
      </w:r>
    </w:p>
    <w:p>
      <w:pPr>
        <w:spacing w:after="80" w:before="0"/>
      </w:pPr>
      <w:r>
        <w:rPr>
          <w:rFonts w:ascii="Georgia" w:cs="Georgia" w:eastAsia="Georgia" w:hAnsi="Georgia"/>
          <w:color w:val="4B5563"/>
          <w:sz w:val="18"/>
          <w:szCs w:val="18"/>
        </w:rPr>
        <w:t xml:space="preserve">The requirement that mobile identity credentials not transmit data back to a central server upon presentation. Prevents construction of a surveillance record from credential use events.</w:t>
      </w:r>
    </w:p>
    <w:p>
      <w:pPr>
        <w:spacing w:after="20" w:before="140"/>
      </w:pPr>
      <w:r>
        <w:rPr>
          <w:rFonts w:ascii="Georgia" w:cs="Georgia" w:eastAsia="Georgia" w:hAnsi="Georgia"/>
          <w:b/>
          <w:bCs/>
          <w:color w:val="1B2A4A"/>
          <w:sz w:val="19"/>
          <w:szCs w:val="19"/>
        </w:rPr>
        <w:t xml:space="preserve">Private Right of Action</w:t>
      </w:r>
    </w:p>
    <w:p>
      <w:pPr>
        <w:spacing w:after="80" w:before="0"/>
      </w:pPr>
      <w:r>
        <w:rPr>
          <w:rFonts w:ascii="Georgia" w:cs="Georgia" w:eastAsia="Georgia" w:hAnsi="Georgia"/>
          <w:color w:val="4B5563"/>
          <w:sz w:val="18"/>
          <w:szCs w:val="18"/>
        </w:rPr>
        <w:t xml:space="preserve">The legal standing of an individual citizen to bring a lawsuit for breach of statutory rights, as distinct from relying solely on government enforcement. The critical missing element in Utah's SB 275.</w:t>
      </w:r>
    </w:p>
    <w:p>
      <w:pPr>
        <w:pBdr>
          <w:top w:val="single" w:color="E5E7EB" w:sz="2" w:space="4"/>
        </w:pBdr>
        <w:spacing w:after="0" w:before="280"/>
      </w:pPr>
      <w:r>
        <w:rPr>
          <w:rFonts w:ascii="Georgia" w:cs="Georgia" w:eastAsia="Georgia" w:hAnsi="Georgia"/>
          <w:i/>
          <w:iCs/>
          <w:color w:val="4B5563"/>
          <w:sz w:val="16"/>
          <w:szCs w:val="16"/>
        </w:rPr>
        <w:t xml:space="preserve">fiduciarycommons.com  |  michael@fiduciarycommons.com  |  For the full argument, see the Fiduciary Commons Series Summary.</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2026-04-25T22:01:27.707Z</dcterms:created>
  <dcterms:modified xsi:type="dcterms:W3CDTF">2026-04-25T22:01:27.708Z</dcterms:modified>
</cp:coreProperties>
</file>

<file path=docProps/custom.xml><?xml version="1.0" encoding="utf-8"?>
<Properties xmlns="http://schemas.openxmlformats.org/officeDocument/2006/custom-properties" xmlns:vt="http://schemas.openxmlformats.org/officeDocument/2006/docPropsVTypes"/>
</file>