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Palatino Linotype" w:cs="Palatino Linotype" w:eastAsia="Palatino Linotype" w:hAnsi="Palatino Linotype"/>
          <w:b/>
          <w:bCs/>
          <w:caps/>
          <w:color w:val="C9A84C"/>
          <w:spacing w:val="40"/>
          <w:sz w:val="18"/>
          <w:szCs w:val="18"/>
        </w:rPr>
        <w:t xml:space="preserve">THE FIDUCIARY COMMONS</w:t>
      </w:r>
    </w:p>
    <w:p>
      <w:pPr>
        <w:spacing w:after="80" w:before="0"/>
      </w:pPr>
      <w:r>
        <w:rPr>
          <w:rFonts w:ascii="Palatino Linotype" w:cs="Palatino Linotype" w:eastAsia="Palatino Linotype" w:hAnsi="Palatino Linotype"/>
          <w:b/>
          <w:bCs/>
          <w:color w:val="1B2A4A"/>
          <w:sz w:val="34"/>
          <w:szCs w:val="34"/>
        </w:rPr>
        <w:t xml:space="preserve">Government, Citizen Data, and the Constitutional Case for Fiduciary Law</w:t>
      </w:r>
    </w:p>
    <w:p>
      <w:pPr>
        <w:spacing w:after="60" w:before="0"/>
      </w:pPr>
      <w:r>
        <w:rPr>
          <w:rFonts w:ascii="Georgia" w:cs="Georgia" w:eastAsia="Georgia" w:hAnsi="Georgia"/>
          <w:i/>
          <w:iCs/>
          <w:color w:val="4B5563"/>
          <w:sz w:val="21"/>
          <w:szCs w:val="21"/>
        </w:rPr>
        <w:t xml:space="preserve">A Series Summary for the Internet Identity Workshop</w:t>
      </w:r>
    </w:p>
    <w:p>
      <w:pPr>
        <w:spacing w:after="40" w:before="0"/>
      </w:pPr>
      <w:r>
        <w:rPr>
          <w:rFonts w:ascii="Georgia" w:cs="Georgia" w:eastAsia="Georgia" w:hAnsi="Georgia"/>
          <w:color w:val="4B5563"/>
          <w:sz w:val="19"/>
          <w:szCs w:val="19"/>
        </w:rPr>
        <w:t xml:space="preserve">Mike Leahy  |  Former Maryland Secretary of Information Technology  |  Former President, NASCIO</w:t>
      </w:r>
    </w:p>
    <w:p>
      <w:pPr>
        <w:spacing w:after="320" w:before="0"/>
      </w:pPr>
      <w:r>
        <w:rPr>
          <w:rFonts w:ascii="Georgia" w:cs="Georgia" w:eastAsia="Georgia" w:hAnsi="Georgia"/>
          <w:color w:val="4B5563"/>
          <w:sz w:val="19"/>
          <w:szCs w:val="19"/>
        </w:rPr>
        <w:t xml:space="preserve">fiduciarycommons.com  |  michael@fiduciarycommons.com  |  April 2026</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The Central Argument</w:t>
      </w:r>
    </w:p>
    <w:p>
      <w:pPr>
        <w:spacing w:after="80" w:before="80"/>
        <w:jc w:val="both"/>
      </w:pPr>
      <w:r>
        <w:rPr>
          <w:rFonts w:ascii="Georgia" w:cs="Georgia" w:eastAsia="Georgia" w:hAnsi="Georgia"/>
          <w:color w:val="1F2937"/>
          <w:sz w:val="21"/>
          <w:szCs w:val="21"/>
        </w:rPr>
        <w:t xml:space="preserve">The Fiduciary Commons framework rests on a single foundational claim: government holds citizen data not as a property owner but as a constitutional fiduciary, bound by duties of loyalty, care, and transparency to the citizens whose data it holds. This is not a novel imposition on government. It is a pre-existing constitutional obligation that American law has failed to operationalize. The Fiduciary Commons framework provides the statutory architecture to do so.</w:t>
      </w:r>
    </w:p>
    <w:p>
      <w:pPr>
        <w:spacing w:after="80" w:before="80"/>
        <w:jc w:val="both"/>
      </w:pPr>
      <w:r>
        <w:rPr>
          <w:rFonts w:ascii="Georgia" w:cs="Georgia" w:eastAsia="Georgia" w:hAnsi="Georgia"/>
          <w:color w:val="1F2937"/>
          <w:sz w:val="21"/>
          <w:szCs w:val="21"/>
        </w:rPr>
        <w:t xml:space="preserve">The framework consists of three model statutes. The Verified Identity Data Act (VIDA) establishes digital identity rights: the right to selective disclosure, the prohibition on server retrieval of credential data, and the requirement that identity systems be designed to verify without accumulating. The Personal Data Trusteeship Act (PDTA) codifies government data fiduciary duties: purpose limitation, data minimization, individual access and correction rights, and the audit trail obligations that make fiduciary accountability enforceable. The Government AI Accountability and Fiduciary Act (GAAFA) extends those duties to the AI layer: requiring algorithmic impact assessments, public registries of government AI systems, explainability as a legal standard, and prohibiting government AI from reconstructing data categories that the underlying collection framework was designed not to produce.</w:t>
      </w:r>
    </w:p>
    <w:p>
      <w:pPr>
        <w:spacing w:after="80" w:before="80"/>
        <w:jc w:val="both"/>
      </w:pPr>
      <w:r>
        <w:rPr>
          <w:rFonts w:ascii="Georgia" w:cs="Georgia" w:eastAsia="Georgia" w:hAnsi="Georgia"/>
          <w:color w:val="1F2937"/>
          <w:sz w:val="21"/>
          <w:szCs w:val="21"/>
        </w:rPr>
        <w:t xml:space="preserve">In 2025 and 2026, Utah enacted the first two pieces of this framework into law, through SB 260 and SB 275 respectively, both passing unanimously. Their independent convergence with the Fiduciary Commons framework is itself evidence that the underlying constitutional logic is sound. GAAFA remains unenacted anywhere. The three sessions summarized in this document make the case for completing the framework, and explain why the practitioners who build identity systems are the people best positioned to ensure that completion happens correctly.</w:t>
      </w:r>
    </w:p>
    <w:p>
      <w:pPr>
        <w:pBdr>
          <w:left w:val="single" w:color="C9A84C" w:sz="12" w:space="12"/>
        </w:pBdr>
        <w:spacing w:after="200" w:before="200"/>
        <w:ind w:left="480" w:right="480"/>
      </w:pPr>
      <w:r>
        <w:rPr>
          <w:rFonts w:ascii="Georgia" w:cs="Georgia" w:eastAsia="Georgia" w:hAnsi="Georgia"/>
          <w:i/>
          <w:iCs/>
          <w:color w:val="1B2A4A"/>
          <w:sz w:val="21"/>
          <w:szCs w:val="21"/>
        </w:rPr>
        <w:t xml:space="preserve">The question is not whether this framework becomes law. Based on what Utah has already enacted and the constitutional logic that underlies it, the direction of travel is clear. The question is whether the systems being built today are positioned correctly when it does.</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I. The Constitutional Foundation</w:t>
      </w:r>
    </w:p>
    <w:p>
      <w:pPr>
        <w:spacing w:after="80" w:before="240"/>
      </w:pPr>
      <w:r>
        <w:rPr>
          <w:rFonts w:ascii="Palatino Linotype" w:cs="Palatino Linotype" w:eastAsia="Palatino Linotype" w:hAnsi="Palatino Linotype"/>
          <w:b/>
          <w:bCs/>
          <w:color w:val="C9A84C"/>
          <w:sz w:val="22"/>
          <w:szCs w:val="22"/>
        </w:rPr>
        <w:t xml:space="preserve">Facts Cannot Be Owned</w:t>
      </w:r>
    </w:p>
    <w:p>
      <w:pPr>
        <w:spacing w:after="80" w:before="80"/>
        <w:jc w:val="both"/>
      </w:pPr>
      <w:r>
        <w:rPr>
          <w:rFonts w:ascii="Georgia" w:cs="Georgia" w:eastAsia="Georgia" w:hAnsi="Georgia"/>
          <w:color w:val="1F2937"/>
          <w:sz w:val="21"/>
          <w:szCs w:val="21"/>
        </w:rPr>
        <w:t xml:space="preserve">The foundational premise of the Fiduciary Commons is the legal status of facts. Facts are not property. The Supreme Court confirmed this in Feist Publications, Inc. v. Rural Telephone Service Co. (1991): facts are discovered, not created, and belong to no one. A database may be proprietary; the underlying facts it contains are not. The phrase "data ownership" is a category error that conflates control over a container with title to the content inside it. That distinction is not semantic. It is the legal foundation of everything that follows.</w:t>
      </w:r>
    </w:p>
    <w:p>
      <w:pPr>
        <w:spacing w:after="80" w:before="240"/>
      </w:pPr>
      <w:r>
        <w:rPr>
          <w:rFonts w:ascii="Palatino Linotype" w:cs="Palatino Linotype" w:eastAsia="Palatino Linotype" w:hAnsi="Palatino Linotype"/>
          <w:b/>
          <w:bCs/>
          <w:color w:val="C9A84C"/>
          <w:sz w:val="22"/>
          <w:szCs w:val="22"/>
        </w:rPr>
        <w:t xml:space="preserve">Every Commons Requires a Trustee</w:t>
      </w:r>
    </w:p>
    <w:p>
      <w:pPr>
        <w:spacing w:after="80" w:before="80"/>
        <w:jc w:val="both"/>
      </w:pPr>
      <w:r>
        <w:rPr>
          <w:rFonts w:ascii="Georgia" w:cs="Georgia" w:eastAsia="Georgia" w:hAnsi="Georgia"/>
          <w:color w:val="1F2937"/>
          <w:sz w:val="21"/>
          <w:szCs w:val="21"/>
        </w:rPr>
        <w:t xml:space="preserve">If facts cannot be owned, they constitute a commons: a shared resource that no one holds title to but that everyone depends on. Every commons has the same structural problem. No private actor has an incentive to protect what no one owns. Society solved this problem for air and navigable water through the public trust doctrine, most clearly articulated in Illinois Central Railroad Co. v. Illinois (1892): the state holds navigable waterways in trust for the public and cannot permanently alienate them. The analogy to data is structural rather than metaphorical. Facts are non-rivalrous and non-depletable, flowing through every institution in society. They require stewardship, not ownership.</w:t>
      </w:r>
    </w:p>
    <w:p>
      <w:pPr>
        <w:spacing w:after="80" w:before="80"/>
        <w:jc w:val="both"/>
      </w:pPr>
      <w:r>
        <w:rPr>
          <w:rFonts w:ascii="Georgia" w:cs="Georgia" w:eastAsia="Georgia" w:hAnsi="Georgia"/>
          <w:color w:val="1F2937"/>
          <w:sz w:val="21"/>
          <w:szCs w:val="21"/>
        </w:rPr>
        <w:t xml:space="preserve">Fiduciary law provides the governance framework. A fiduciary holds power over something on behalf of another, bound by duties of loyalty, care, and transparency to the beneficiary. The trustee cannot use the trust corpus for personal benefit. The trustee must account to the beneficiary for what has been done with the trust. When government holds data about citizens, it holds it as a trustee. The citizens are the beneficiaries. The fiduciary framework governs the relationship.</w:t>
      </w:r>
    </w:p>
    <w:p>
      <w:pPr>
        <w:spacing w:after="80" w:before="240"/>
      </w:pPr>
      <w:r>
        <w:rPr>
          <w:rFonts w:ascii="Palatino Linotype" w:cs="Palatino Linotype" w:eastAsia="Palatino Linotype" w:hAnsi="Palatino Linotype"/>
          <w:b/>
          <w:bCs/>
          <w:color w:val="C9A84C"/>
          <w:sz w:val="22"/>
          <w:szCs w:val="22"/>
        </w:rPr>
        <w:t xml:space="preserve">Government Was Always a Fiduciary</w:t>
      </w:r>
    </w:p>
    <w:p>
      <w:pPr>
        <w:spacing w:after="80" w:before="80"/>
        <w:jc w:val="both"/>
      </w:pPr>
      <w:r>
        <w:rPr>
          <w:rFonts w:ascii="Georgia" w:cs="Georgia" w:eastAsia="Georgia" w:hAnsi="Georgia"/>
          <w:color w:val="1F2937"/>
          <w:sz w:val="21"/>
          <w:szCs w:val="21"/>
        </w:rPr>
        <w:t xml:space="preserve">The constitutional obligations are not created by the Fiduciary Commons framework. They were embedded in the constitutional structure by the framers. The duty of loyalty: the Constitution limits government power to protect individual rights, not to exploit them. The duty of care: officials hold the public trust and must act with prudence in managing what belongs to the people. The duty of transparency: the First Amendment, open government principles, and the Freedom of Information Act reflect a constitutional presumption of public accountability.</w:t>
      </w:r>
    </w:p>
    <w:p>
      <w:pPr>
        <w:spacing w:after="80" w:before="80"/>
        <w:jc w:val="both"/>
      </w:pPr>
      <w:r>
        <w:rPr>
          <w:rFonts w:ascii="Georgia" w:cs="Georgia" w:eastAsia="Georgia" w:hAnsi="Georgia"/>
          <w:color w:val="1F2937"/>
          <w:sz w:val="21"/>
          <w:szCs w:val="21"/>
        </w:rPr>
        <w:t xml:space="preserve">In 1973, the HEW Advisory Committee articulated the Fair Information Practices Principles: notice, choice, access, security, and enforcement. These principles have been endorsed in every major privacy framework in the fifty years since. They have never been made mandatory in American law. The Fiduciary Commons framework closes that gap by grounding those principles not in voluntary best practice but in the pre-existing constitutional obligations of government as fiduciary.</w:t>
      </w:r>
    </w:p>
    <w:p>
      <w:pPr>
        <w:spacing w:after="80" w:before="240"/>
      </w:pPr>
      <w:r>
        <w:rPr>
          <w:rFonts w:ascii="Palatino Linotype" w:cs="Palatino Linotype" w:eastAsia="Palatino Linotype" w:hAnsi="Palatino Linotype"/>
          <w:b/>
          <w:bCs/>
          <w:color w:val="C9A84C"/>
          <w:sz w:val="22"/>
          <w:szCs w:val="22"/>
        </w:rPr>
        <w:t xml:space="preserve">The Digital General Warrant</w:t>
      </w:r>
    </w:p>
    <w:p>
      <w:pPr>
        <w:spacing w:after="80" w:before="80"/>
        <w:jc w:val="both"/>
      </w:pPr>
      <w:r>
        <w:rPr>
          <w:rFonts w:ascii="Georgia" w:cs="Georgia" w:eastAsia="Georgia" w:hAnsi="Georgia"/>
          <w:color w:val="1F2937"/>
          <w:sz w:val="21"/>
          <w:szCs w:val="21"/>
        </w:rPr>
        <w:t xml:space="preserve">The framers of the Constitution wrote the Fourth Amendment specifically to prohibit general warrants: broad authority to search anyone, anywhere, for anything, without individualized suspicion. The writs of assistance used by British colonial authorities were a proximate cause of the American Revolution. The framers understood that unfettered government surveillance is incompatible with liberty.</w:t>
      </w:r>
    </w:p>
    <w:p>
      <w:pPr>
        <w:spacing w:after="80" w:before="80"/>
        <w:jc w:val="both"/>
      </w:pPr>
      <w:r>
        <w:rPr>
          <w:rFonts w:ascii="Georgia" w:cs="Georgia" w:eastAsia="Georgia" w:hAnsi="Georgia"/>
          <w:color w:val="1F2937"/>
          <w:sz w:val="21"/>
          <w:szCs w:val="21"/>
        </w:rPr>
        <w:t xml:space="preserve">The digital equivalent of the general warrant exists today. Government databases aggregate citizen data with no individualized suspicion and no judicial authorization. Bulk collection, inter-agency sharing, and administrative data practices enable the continuous surveillance of every citizen as a practical matter. The digital general warrant is not issued by a magistrate. It does not require probable cause. It is simply the default condition of a society in which government holds digital records about everything. The Fiduciary Commons framework is, in part, the constitutional corrective to this condition.</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II. What Utah Enacted</w:t>
      </w:r>
    </w:p>
    <w:p>
      <w:pPr>
        <w:spacing w:after="80" w:before="240"/>
      </w:pPr>
      <w:r>
        <w:rPr>
          <w:rFonts w:ascii="Palatino Linotype" w:cs="Palatino Linotype" w:eastAsia="Palatino Linotype" w:hAnsi="Palatino Linotype"/>
          <w:b/>
          <w:bCs/>
          <w:color w:val="C9A84C"/>
          <w:sz w:val="22"/>
          <w:szCs w:val="22"/>
        </w:rPr>
        <w:t xml:space="preserve">SB 260: Digital Identity Rights (2025)</w:t>
      </w:r>
    </w:p>
    <w:p>
      <w:pPr>
        <w:spacing w:after="80" w:before="80"/>
        <w:jc w:val="both"/>
      </w:pPr>
      <w:r>
        <w:rPr>
          <w:rFonts w:ascii="Georgia" w:cs="Georgia" w:eastAsia="Georgia" w:hAnsi="Georgia"/>
          <w:color w:val="1F2937"/>
          <w:sz w:val="21"/>
          <w:szCs w:val="21"/>
        </w:rPr>
        <w:t xml:space="preserve">Utah's SB 260 establishes the identity rights layer of the Fiduciary Commons framework. Its core provisions: the right of individuals to control presentation of identity credentials; prohibition on compelled disclosure without due process; the right to know what identity data government holds and to correct inaccurate records; and, critically for identity practitioners, a prohibition on server retrieval in mobile identity credentials. An identity system that phones home to a central server each time a credential is presented creates a continuous surveillance record of every transaction in a citizen's life. SB 260 prohibits that architecture by law.</w:t>
      </w:r>
    </w:p>
    <w:p>
      <w:pPr>
        <w:spacing w:after="80" w:before="80"/>
        <w:jc w:val="both"/>
      </w:pPr>
      <w:r>
        <w:rPr>
          <w:rFonts w:ascii="Georgia" w:cs="Georgia" w:eastAsia="Georgia" w:hAnsi="Georgia"/>
          <w:color w:val="1F2937"/>
          <w:sz w:val="21"/>
          <w:szCs w:val="21"/>
        </w:rPr>
        <w:t xml:space="preserve">The bill also requires that credential systems support selective disclosure at the credential level, enable verification without storing the underlying fact, be revocable by the individual, and maintain interoperability with open identity standards. Technical implementation standards are subject to ongoing rulemaking, which creates both an obligation and an opportunity for practitioners to shape how the compliance standard is defined in practice.</w:t>
      </w:r>
    </w:p>
    <w:p>
      <w:pPr>
        <w:spacing w:after="80" w:before="240"/>
      </w:pPr>
      <w:r>
        <w:rPr>
          <w:rFonts w:ascii="Palatino Linotype" w:cs="Palatino Linotype" w:eastAsia="Palatino Linotype" w:hAnsi="Palatino Linotype"/>
          <w:b/>
          <w:bCs/>
          <w:color w:val="C9A84C"/>
          <w:sz w:val="22"/>
          <w:szCs w:val="22"/>
        </w:rPr>
        <w:t xml:space="preserve">SB 275: Personal Data Protection and Digital Bill of Rights (2026)</w:t>
      </w:r>
    </w:p>
    <w:p>
      <w:pPr>
        <w:spacing w:after="80" w:before="80"/>
        <w:jc w:val="both"/>
      </w:pPr>
      <w:r>
        <w:rPr>
          <w:rFonts w:ascii="Georgia" w:cs="Georgia" w:eastAsia="Georgia" w:hAnsi="Georgia"/>
          <w:color w:val="1F2937"/>
          <w:sz w:val="21"/>
          <w:szCs w:val="21"/>
        </w:rPr>
        <w:t xml:space="preserve">Utah's SB 275 codifies the data governance layer. Government data fiduciary duties are now statutory: purpose limitation, prohibitions on bulk collection without statutory authority, individual rights of access and correction, and a digital bill of rights for Utah residents. These are real achievements that represent the first statutory codification of data fiduciary duties in American state law.</w:t>
      </w:r>
    </w:p>
    <w:p>
      <w:pPr>
        <w:spacing w:after="80" w:before="80"/>
        <w:jc w:val="both"/>
      </w:pPr>
      <w:r>
        <w:rPr>
          <w:rFonts w:ascii="Georgia" w:cs="Georgia" w:eastAsia="Georgia" w:hAnsi="Georgia"/>
          <w:color w:val="1F2937"/>
          <w:sz w:val="21"/>
          <w:szCs w:val="21"/>
        </w:rPr>
        <w:t xml:space="preserve">The critical limitation: SB 275 creates rights without providing a private right of action. Enforcement relies entirely on the Attorney General. Attorneys general manage statewide policy priorities; individual data rights violations are rarely significant enough to attract AG attention. A bill of rights with no individual enforcement mechanism is, in practical terms, a statement of aspirations. The addition of a private right of action is the single most important legislative priority for Utah's next session and for every state that follows Utah's lead.</w:t>
      </w:r>
    </w:p>
    <w:p>
      <w:pPr>
        <w:spacing w:after="80" w:before="240"/>
      </w:pPr>
      <w:r>
        <w:rPr>
          <w:rFonts w:ascii="Palatino Linotype" w:cs="Palatino Linotype" w:eastAsia="Palatino Linotype" w:hAnsi="Palatino Linotype"/>
          <w:b/>
          <w:bCs/>
          <w:color w:val="C9A84C"/>
          <w:sz w:val="22"/>
          <w:szCs w:val="22"/>
        </w:rPr>
        <w:t xml:space="preserve">What Remains</w:t>
      </w:r>
    </w:p>
    <w:p>
      <w:pPr>
        <w:spacing w:after="80" w:before="80"/>
        <w:jc w:val="both"/>
      </w:pPr>
      <w:r>
        <w:rPr>
          <w:rFonts w:ascii="Georgia" w:cs="Georgia" w:eastAsia="Georgia" w:hAnsi="Georgia"/>
          <w:color w:val="1F2937"/>
          <w:sz w:val="21"/>
          <w:szCs w:val="21"/>
        </w:rPr>
        <w:t xml:space="preserve">Three categories of gap remain across Utah's enacted framework. VIDA implementation gaps: technical standards for selective disclosure are not yet mandated, the phone-home prohibition needs precise technical definition, and interoperability standards for verifiable credentials are not yet defined. PDTA enforcement gaps: the private right of action, an independent audit mechanism, and agency-specific data minimization rules. And GAAFA: entirely unenacted in Utah and every other state. No algorithmic impact assessments are required before government AI deployment. No public registry of government AI systems exists. The fiduciary duties established by SB 275 do not yet extend to AI-generated inferences about citizens.</w:t>
      </w:r>
    </w:p>
    <w:p>
      <w:pPr>
        <w:pBdr>
          <w:left w:val="single" w:color="C9A84C" w:sz="12" w:space="12"/>
        </w:pBdr>
        <w:spacing w:after="200" w:before="200"/>
        <w:ind w:left="480" w:right="480"/>
      </w:pPr>
      <w:r>
        <w:rPr>
          <w:rFonts w:ascii="Georgia" w:cs="Georgia" w:eastAsia="Georgia" w:hAnsi="Georgia"/>
          <w:i/>
          <w:iCs/>
          <w:color w:val="1B2A4A"/>
          <w:sz w:val="21"/>
          <w:szCs w:val="21"/>
        </w:rPr>
        <w:t xml:space="preserve">Utah's unanimous passage of SB 260 and SB 275 is a landmark achievement. These gaps represent the next chapter of Utah's leadership, not a verdict on what was accomplished.</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III. Why Incomplete Legislation Is a Practitioner Problem</w:t>
      </w:r>
    </w:p>
    <w:p>
      <w:pPr>
        <w:spacing w:after="80" w:before="80"/>
        <w:jc w:val="both"/>
      </w:pPr>
      <w:r>
        <w:rPr>
          <w:rFonts w:ascii="Georgia" w:cs="Georgia" w:eastAsia="Georgia" w:hAnsi="Georgia"/>
          <w:color w:val="1F2937"/>
          <w:sz w:val="21"/>
          <w:szCs w:val="21"/>
        </w:rPr>
        <w:t xml:space="preserve">The three failure scenarios that follow describe conditions that exist today in jurisdictions that have enacted portions of this framework without the others. They are not hypothetical future risks. They are the current commercial and legal environment for identity vendors and protocol designers operating in those markets.</w:t>
      </w:r>
    </w:p>
    <w:p>
      <w:pPr>
        <w:spacing w:after="80" w:before="240"/>
      </w:pPr>
      <w:r>
        <w:rPr>
          <w:rFonts w:ascii="Palatino Linotype" w:cs="Palatino Linotype" w:eastAsia="Palatino Linotype" w:hAnsi="Palatino Linotype"/>
          <w:b/>
          <w:bCs/>
          <w:color w:val="C9A84C"/>
          <w:sz w:val="22"/>
          <w:szCs w:val="22"/>
        </w:rPr>
        <w:t xml:space="preserve">Scenario One: VIDA Without PDTA</w:t>
      </w:r>
    </w:p>
    <w:p>
      <w:pPr>
        <w:spacing w:after="80" w:before="80"/>
        <w:jc w:val="both"/>
      </w:pPr>
      <w:r>
        <w:rPr>
          <w:rFonts w:ascii="Georgia" w:cs="Georgia" w:eastAsia="Georgia" w:hAnsi="Georgia"/>
          <w:color w:val="1F2937"/>
          <w:sz w:val="21"/>
          <w:szCs w:val="21"/>
        </w:rPr>
        <w:t xml:space="preserve">A jurisdiction enacts VIDA-equivalent identity standards. The credential architecture is correct. Selective disclosure credentials are issued, zero-knowledge proofs verify eligibility without transmitting underlying data, the architecture meets every technical requirement. The vendor's system does exactly what it was designed to do.</w:t>
      </w:r>
    </w:p>
    <w:p>
      <w:pPr>
        <w:spacing w:after="80" w:before="80"/>
        <w:jc w:val="both"/>
      </w:pPr>
      <w:r>
        <w:rPr>
          <w:rFonts w:ascii="Georgia" w:cs="Georgia" w:eastAsia="Georgia" w:hAnsi="Georgia"/>
          <w:color w:val="1F2937"/>
          <w:sz w:val="21"/>
          <w:szCs w:val="21"/>
        </w:rPr>
        <w:t xml:space="preserve">But verification metadata is unprotected. Every credential presentation creates a record: who presented, to which agency, when, where. In the absence of PDTA's purpose limitation and fiduciary duties, there is no legal barrier preventing that metadata from being aggregated into a behavioral profile. The pattern-of-life portrait built from verification residue is constitutionally indistinguishable from the surveillance the credential architecture was designed to prevent. The architecture was correct. The surveillance problem survived through the gap.</w:t>
      </w:r>
    </w:p>
    <w:p>
      <w:pPr>
        <w:spacing w:after="80" w:before="80"/>
        <w:jc w:val="both"/>
      </w:pPr>
      <w:r>
        <w:rPr>
          <w:rFonts w:ascii="Georgia" w:cs="Georgia" w:eastAsia="Georgia" w:hAnsi="Georgia"/>
          <w:color w:val="1F2937"/>
          <w:sz w:val="21"/>
          <w:szCs w:val="21"/>
        </w:rPr>
        <w:t xml:space="preserve">The vendor whose name is on the contract is the entity named when the problem is identified. The missing statutory provision has no name in any public record.</w:t>
      </w:r>
    </w:p>
    <w:p>
      <w:pPr>
        <w:spacing w:after="80" w:before="240"/>
      </w:pPr>
      <w:r>
        <w:rPr>
          <w:rFonts w:ascii="Palatino Linotype" w:cs="Palatino Linotype" w:eastAsia="Palatino Linotype" w:hAnsi="Palatino Linotype"/>
          <w:b/>
          <w:bCs/>
          <w:color w:val="C9A84C"/>
          <w:sz w:val="22"/>
          <w:szCs w:val="22"/>
        </w:rPr>
        <w:t xml:space="preserve">Scenario Two: PDTA Without VIDA</w:t>
      </w:r>
    </w:p>
    <w:p>
      <w:pPr>
        <w:spacing w:after="80" w:before="80"/>
        <w:jc w:val="both"/>
      </w:pPr>
      <w:r>
        <w:rPr>
          <w:rFonts w:ascii="Georgia" w:cs="Georgia" w:eastAsia="Georgia" w:hAnsi="Georgia"/>
          <w:color w:val="1F2937"/>
          <w:sz w:val="21"/>
          <w:szCs w:val="21"/>
        </w:rPr>
        <w:t xml:space="preserve">A jurisdiction enacts PDTA-equivalent duties. Government agencies are legally required to minimize data collection, limit data to its stated purpose, and maintain individual-controlled audit trails. The legal obligation is real. But VIDA's infrastructure requirements are absent. The existing infrastructure is a centralized database with no zero-knowledge capability, no purpose-bounded access controls, and no cryptographic audit trail. The duty is imposed on a system that cannot structurally meet it.</w:t>
      </w:r>
    </w:p>
    <w:p>
      <w:pPr>
        <w:spacing w:after="80" w:before="80"/>
        <w:jc w:val="both"/>
      </w:pPr>
      <w:r>
        <w:rPr>
          <w:rFonts w:ascii="Georgia" w:cs="Georgia" w:eastAsia="Georgia" w:hAnsi="Georgia"/>
          <w:color w:val="1F2937"/>
          <w:sz w:val="21"/>
          <w:szCs w:val="21"/>
        </w:rPr>
        <w:t xml:space="preserve">Vendors are asked to certify compliance with a standard the underlying system cannot fulfill. They face liability for secondary data use they had no power to prevent. They are associated with audit failures on systems they were asked to certify as compliant. The forward-looking risk is direct: if legislatures enact PDTA-equivalent duties before VIDA-equivalent infrastructure requirements exist, this scenario describes every government identity contract in those jurisdictions.</w:t>
      </w:r>
    </w:p>
    <w:p>
      <w:pPr>
        <w:spacing w:after="80" w:before="240"/>
      </w:pPr>
      <w:r>
        <w:rPr>
          <w:rFonts w:ascii="Palatino Linotype" w:cs="Palatino Linotype" w:eastAsia="Palatino Linotype" w:hAnsi="Palatino Linotype"/>
          <w:b/>
          <w:bCs/>
          <w:color w:val="C9A84C"/>
          <w:sz w:val="22"/>
          <w:szCs w:val="22"/>
        </w:rPr>
        <w:t xml:space="preserve">Scenario Three: Fragmentation</w:t>
      </w:r>
    </w:p>
    <w:p>
      <w:pPr>
        <w:spacing w:after="80" w:before="80"/>
        <w:jc w:val="both"/>
      </w:pPr>
      <w:r>
        <w:rPr>
          <w:rFonts w:ascii="Georgia" w:cs="Georgia" w:eastAsia="Georgia" w:hAnsi="Georgia"/>
          <w:color w:val="1F2937"/>
          <w:sz w:val="21"/>
          <w:szCs w:val="21"/>
        </w:rPr>
        <w:t xml:space="preserve">The compliance cost of inconsistency is not additive. It is multiplicative. Each additional jurisdiction with an incompatible framework does not add one unit of compliance cost. It multiplies the complexity of every decision that crosses state lines, creating edge cases that require expensive legal analysis in every jurisdiction, compliance architectures that cannot be standardized across markets, and pricing complexity that vendors pass back to government in the form of higher contract costs.</w:t>
      </w:r>
    </w:p>
    <w:p>
      <w:pPr>
        <w:spacing w:after="80" w:before="80"/>
        <w:jc w:val="both"/>
      </w:pPr>
      <w:r>
        <w:rPr>
          <w:rFonts w:ascii="Georgia" w:cs="Georgia" w:eastAsia="Georgia" w:hAnsi="Georgia"/>
          <w:color w:val="1F2937"/>
          <w:sz w:val="21"/>
          <w:szCs w:val="21"/>
        </w:rPr>
        <w:t xml:space="preserve">A uniform multi-state framework built on the Fiduciary Commons model statutes produces the opposite outcome: one credential architecture that satisfies all adopting jurisdictions, one audit standard regardless of transaction location, and competitive procurement conditions that drive down costs for both government and vendors. Uniform adoption is not just a policy preference. It is a direct commercial interest for every vendor with a multi-state business.</w:t>
      </w:r>
    </w:p>
    <w:p>
      <w:pPr>
        <w:spacing w:after="80" w:before="240"/>
      </w:pPr>
      <w:r>
        <w:rPr>
          <w:rFonts w:ascii="Palatino Linotype" w:cs="Palatino Linotype" w:eastAsia="Palatino Linotype" w:hAnsi="Palatino Linotype"/>
          <w:b/>
          <w:bCs/>
          <w:color w:val="C9A84C"/>
          <w:sz w:val="22"/>
          <w:szCs w:val="22"/>
        </w:rPr>
        <w:t xml:space="preserve">The Visibility Asymmetry</w:t>
      </w:r>
    </w:p>
    <w:p>
      <w:pPr>
        <w:spacing w:after="80" w:before="80"/>
        <w:jc w:val="both"/>
      </w:pPr>
      <w:r>
        <w:rPr>
          <w:rFonts w:ascii="Georgia" w:cs="Georgia" w:eastAsia="Georgia" w:hAnsi="Georgia"/>
          <w:color w:val="1F2937"/>
          <w:sz w:val="21"/>
          <w:szCs w:val="21"/>
        </w:rPr>
        <w:t xml:space="preserve">When a government identity system fails to protect citizens, the vendor is visible and the regulatory gap is not. The contract is public record; the missing statutory provision built nothing and appears in no public document. Technical systems have owners; legislative omissions do not. This asymmetry is structural and will not resolve itself. Practitioners who engage with the legislative process to ensure complete and consistent enactment are not acting as advocates for an external cause. They are protecting their own commercial interests and the citizens their systems are designed to serve.</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IV. The Inference Problem and What GAAFA Requires</w:t>
      </w:r>
    </w:p>
    <w:p>
      <w:pPr>
        <w:spacing w:after="80" w:before="240"/>
      </w:pPr>
      <w:r>
        <w:rPr>
          <w:rFonts w:ascii="Palatino Linotype" w:cs="Palatino Linotype" w:eastAsia="Palatino Linotype" w:hAnsi="Palatino Linotype"/>
          <w:b/>
          <w:bCs/>
          <w:color w:val="C9A84C"/>
          <w:sz w:val="22"/>
          <w:szCs w:val="22"/>
        </w:rPr>
        <w:t xml:space="preserve">The Gap VIDA and PDTA Leave Open</w:t>
      </w:r>
    </w:p>
    <w:p>
      <w:pPr>
        <w:spacing w:after="80" w:before="80"/>
        <w:jc w:val="both"/>
      </w:pPr>
      <w:r>
        <w:rPr>
          <w:rFonts w:ascii="Georgia" w:cs="Georgia" w:eastAsia="Georgia" w:hAnsi="Georgia"/>
          <w:color w:val="1F2937"/>
          <w:sz w:val="21"/>
          <w:szCs w:val="21"/>
        </w:rPr>
        <w:t xml:space="preserve">Sessions 1 and 2 built a privacy architecture around what data gets collected and how it is held. That architecture is real and important. It is also incomplete. A system that never collects a fact can still reconstruct it. Selective disclosure at the credential level does not protect against inference at the AI layer. The credential architecture was designed to protect the individual transaction. The mosaic is assembled from the residue of correct transactions.</w:t>
      </w:r>
    </w:p>
    <w:p>
      <w:pPr>
        <w:spacing w:after="80" w:before="80"/>
        <w:jc w:val="both"/>
      </w:pPr>
      <w:r>
        <w:rPr>
          <w:rFonts w:ascii="Georgia" w:cs="Georgia" w:eastAsia="Georgia" w:hAnsi="Georgia"/>
          <w:color w:val="1F2937"/>
          <w:sz w:val="21"/>
          <w:szCs w:val="21"/>
        </w:rPr>
        <w:t xml:space="preserve">Three examples illustrate the structural problem. A VIDA-compliant age verification credential reveals only that a citizen is over 21. The receiving system logs the transaction: time, location, context. Repeated transactions reconstruct daily routine, social network, and behavioral profile. A PDTA-compliant agency holds income data appropriately but an AI system correlates eligibility queries with service co-occurrence to infer health status and housing instability that was never submitted. A selective disclosure credential confirms only that a court record exists, while query patterns across the population reconstruct attorney-defendant relationships and contested case patterns. In each case, the architecture was correct. The inference engine worked around it.</w:t>
      </w:r>
    </w:p>
    <w:p>
      <w:pPr>
        <w:spacing w:after="80" w:before="240"/>
      </w:pPr>
      <w:r>
        <w:rPr>
          <w:rFonts w:ascii="Palatino Linotype" w:cs="Palatino Linotype" w:eastAsia="Palatino Linotype" w:hAnsi="Palatino Linotype"/>
          <w:b/>
          <w:bCs/>
          <w:color w:val="C9A84C"/>
          <w:sz w:val="22"/>
          <w:szCs w:val="22"/>
        </w:rPr>
        <w:t xml:space="preserve">The Legal Ground Is Shifting</w:t>
      </w:r>
    </w:p>
    <w:p>
      <w:pPr>
        <w:spacing w:after="80" w:before="80"/>
        <w:jc w:val="both"/>
      </w:pPr>
      <w:r>
        <w:rPr>
          <w:rFonts w:ascii="Georgia" w:cs="Georgia" w:eastAsia="Georgia" w:hAnsi="Georgia"/>
          <w:color w:val="1F2937"/>
          <w:sz w:val="21"/>
          <w:szCs w:val="21"/>
        </w:rPr>
        <w:t xml:space="preserve">The constitutional dimension of the inference problem is being actively litigated at the Supreme Court level. In Carpenter v. United States (2018), the Court held that long-term cell-site location data requires a warrant even though it was held by a third party, because the aggregate reveals the privacies of life in ways no single data point does. Chief Justice Roberts explicitly declined to extend Smith v. Maryland's Third Party Doctrine to digital-scale data collection. Four sitting Justices have written or joined opinions signaling that the doctrine needs fundamental rethinking for digital-scale collection. That is not a majority position today. It is the direction of travel.</w:t>
      </w:r>
    </w:p>
    <w:p>
      <w:pPr>
        <w:spacing w:after="80" w:before="80"/>
        <w:jc w:val="both"/>
      </w:pPr>
      <w:r>
        <w:rPr>
          <w:rFonts w:ascii="Georgia" w:cs="Georgia" w:eastAsia="Georgia" w:hAnsi="Georgia"/>
          <w:color w:val="1F2937"/>
          <w:sz w:val="21"/>
          <w:szCs w:val="21"/>
        </w:rPr>
        <w:t xml:space="preserve">Systems designed on the assumption that third-party data sharing eliminates Fourth Amendment protection are being built on contested legal ground. VIDA and PDTA are ahead of where the doctrine currently sits and aligned with where the Court appears to be heading. GAAFA addresses the inference layer that Carpenter identified as constitutionally significant, through statutory mechanism rather than through litigation after harm has occurred.</w:t>
      </w:r>
    </w:p>
    <w:p>
      <w:pPr>
        <w:spacing w:after="80" w:before="240"/>
      </w:pPr>
      <w:r>
        <w:rPr>
          <w:rFonts w:ascii="Palatino Linotype" w:cs="Palatino Linotype" w:eastAsia="Palatino Linotype" w:hAnsi="Palatino Linotype"/>
          <w:b/>
          <w:bCs/>
          <w:color w:val="C9A84C"/>
          <w:sz w:val="22"/>
          <w:szCs w:val="22"/>
        </w:rPr>
        <w:t xml:space="preserve">The Fiduciary Breach</w:t>
      </w:r>
    </w:p>
    <w:p>
      <w:pPr>
        <w:spacing w:after="80" w:before="80"/>
        <w:jc w:val="both"/>
      </w:pPr>
      <w:r>
        <w:rPr>
          <w:rFonts w:ascii="Georgia" w:cs="Georgia" w:eastAsia="Georgia" w:hAnsi="Georgia"/>
          <w:color w:val="1F2937"/>
          <w:sz w:val="21"/>
          <w:szCs w:val="21"/>
        </w:rPr>
        <w:t xml:space="preserve">The inference problem is not merely a technical gap. It is a constitutional breach of the fiduciary relationship. Government chose not to collect certain data because it had no right to collect it. Using AI to reconstruct from transaction patterns what the credential architecture was designed not to reveal bypasses the constitutional constraint without violating its letter. A trustee who finds an indirect method to extract value from the trust corpus that direct methods prohibit has not honored the trust. The method does not redeem the act.</w:t>
      </w:r>
    </w:p>
    <w:p>
      <w:pPr>
        <w:spacing w:after="80" w:before="240"/>
      </w:pPr>
      <w:r>
        <w:rPr>
          <w:rFonts w:ascii="Palatino Linotype" w:cs="Palatino Linotype" w:eastAsia="Palatino Linotype" w:hAnsi="Palatino Linotype"/>
          <w:b/>
          <w:bCs/>
          <w:color w:val="C9A84C"/>
          <w:sz w:val="22"/>
          <w:szCs w:val="22"/>
        </w:rPr>
        <w:t xml:space="preserve">What GAAFA Requires</w:t>
      </w:r>
    </w:p>
    <w:p>
      <w:pPr>
        <w:spacing w:after="80" w:before="80"/>
        <w:jc w:val="both"/>
      </w:pPr>
      <w:r>
        <w:rPr>
          <w:rFonts w:ascii="Georgia" w:cs="Georgia" w:eastAsia="Georgia" w:hAnsi="Georgia"/>
          <w:color w:val="1F2937"/>
          <w:sz w:val="21"/>
          <w:szCs w:val="21"/>
        </w:rPr>
        <w:t xml:space="preserve">GAAFA addresses the AI and inference layer through four categories of obligation, each translated into architectural requirements rather than legal abstractions.</w:t>
      </w:r>
    </w:p>
    <w:p>
      <w:pPr>
        <w:spacing w:after="100" w:before="100"/>
      </w:pPr>
      <w:r>
        <w:rPr>
          <w:rFonts w:ascii="Georgia" w:cs="Georgia" w:eastAsia="Georgia" w:hAnsi="Georgia"/>
          <w:b/>
          <w:bCs/>
          <w:color w:val="1B2A4A"/>
          <w:sz w:val="21"/>
          <w:szCs w:val="21"/>
        </w:rPr>
        <w:t xml:space="preserve">Algorithmic Impact Assessments: </w:t>
      </w:r>
      <w:r>
        <w:rPr>
          <w:rFonts w:ascii="Georgia" w:cs="Georgia" w:eastAsia="Georgia" w:hAnsi="Georgia"/>
          <w:color w:val="1F2937"/>
          <w:sz w:val="21"/>
          <w:szCs w:val="21"/>
        </w:rPr>
        <w:t xml:space="preserve">Before deployment and at defined intervals, document what the system infers, from what inputs, with what error rates, and with what disparate impacts across population groups. This is a documentation and testing requirement, modeled on environmental impact assessments, that forces explicit reckoning with what a system does before citizens are affected.</w:t>
      </w:r>
    </w:p>
    <w:p>
      <w:pPr>
        <w:spacing w:after="100" w:before="100"/>
      </w:pPr>
      <w:r>
        <w:rPr>
          <w:rFonts w:ascii="Georgia" w:cs="Georgia" w:eastAsia="Georgia" w:hAnsi="Georgia"/>
          <w:b/>
          <w:bCs/>
          <w:color w:val="1B2A4A"/>
          <w:sz w:val="21"/>
          <w:szCs w:val="21"/>
        </w:rPr>
        <w:t xml:space="preserve">Public Registries: </w:t>
      </w:r>
      <w:r>
        <w:rPr>
          <w:rFonts w:ascii="Georgia" w:cs="Georgia" w:eastAsia="Georgia" w:hAnsi="Georgia"/>
          <w:color w:val="1F2937"/>
          <w:sz w:val="21"/>
          <w:szCs w:val="21"/>
        </w:rPr>
        <w:t xml:space="preserve">Every AI system used in a government function affecting citizens must be registered, with its purpose, data inputs, and assessment results publicly accessible. This is the transparency obligation at the system level.</w:t>
      </w:r>
    </w:p>
    <w:p>
      <w:pPr>
        <w:spacing w:after="100" w:before="100"/>
      </w:pPr>
      <w:r>
        <w:rPr>
          <w:rFonts w:ascii="Georgia" w:cs="Georgia" w:eastAsia="Georgia" w:hAnsi="Georgia"/>
          <w:b/>
          <w:bCs/>
          <w:color w:val="1B2A4A"/>
          <w:sz w:val="21"/>
          <w:szCs w:val="21"/>
        </w:rPr>
        <w:t xml:space="preserve">Explainability Duties: </w:t>
      </w:r>
      <w:r>
        <w:rPr>
          <w:rFonts w:ascii="Georgia" w:cs="Georgia" w:eastAsia="Georgia" w:hAnsi="Georgia"/>
          <w:color w:val="1F2937"/>
          <w:sz w:val="21"/>
          <w:szCs w:val="21"/>
        </w:rPr>
        <w:t xml:space="preserve">Any AI-assisted decision affecting a citizen's rights or benefits must be explainable to that citizen in terms they can understand and contest. The explanation must identify the factors the system weighted, not merely the output. Explainability applies to systems already in deployment, not only systems being designed.</w:t>
      </w:r>
    </w:p>
    <w:p>
      <w:pPr>
        <w:spacing w:after="100" w:before="100"/>
      </w:pPr>
      <w:r>
        <w:rPr>
          <w:rFonts w:ascii="Georgia" w:cs="Georgia" w:eastAsia="Georgia" w:hAnsi="Georgia"/>
          <w:b/>
          <w:bCs/>
          <w:color w:val="1B2A4A"/>
          <w:sz w:val="21"/>
          <w:szCs w:val="21"/>
        </w:rPr>
        <w:t xml:space="preserve">Inference-Based Profiling Prohibition: </w:t>
      </w:r>
      <w:r>
        <w:rPr>
          <w:rFonts w:ascii="Georgia" w:cs="Georgia" w:eastAsia="Georgia" w:hAnsi="Georgia"/>
          <w:color w:val="1F2937"/>
          <w:sz w:val="21"/>
          <w:szCs w:val="21"/>
        </w:rPr>
        <w:t xml:space="preserve">Government may not use AI to reconstruct data categories that applicable law prohibits collecting, without explicit statutory authorization and individual notice. This is the provision that extends the collection prohibition to the inference layer.</w:t>
      </w:r>
    </w:p>
    <w:p>
      <w:pPr>
        <w:spacing w:after="80" w:before="240"/>
      </w:pPr>
      <w:r>
        <w:rPr>
          <w:rFonts w:ascii="Palatino Linotype" w:cs="Palatino Linotype" w:eastAsia="Palatino Linotype" w:hAnsi="Palatino Linotype"/>
          <w:b/>
          <w:bCs/>
          <w:color w:val="C9A84C"/>
          <w:sz w:val="22"/>
          <w:szCs w:val="22"/>
        </w:rPr>
        <w:t xml:space="preserve">What Compliant Architecture Requires</w:t>
      </w:r>
    </w:p>
    <w:p>
      <w:pPr>
        <w:spacing w:after="80" w:before="80"/>
        <w:jc w:val="both"/>
      </w:pPr>
      <w:r>
        <w:rPr>
          <w:rFonts w:ascii="Georgia" w:cs="Georgia" w:eastAsia="Georgia" w:hAnsi="Georgia"/>
          <w:color w:val="1F2937"/>
          <w:sz w:val="21"/>
          <w:szCs w:val="21"/>
        </w:rPr>
        <w:t xml:space="preserve">Four architectural properties define GAAFA-compliant government AI infrastructure. Purpose-sequestered databases: separate data stores scoped to collection purpose, with AI system access gated by purpose-matching logic and an audit trail. Cross-purpose queries require documented justification and authorization. The inference engine is bounded by the authority under which the data was collected. Cryptographic, individual-controlled, immutable audit trails: each access event hashed and chained, modification detectable, the citizen able to inspect the full record of queries against their data. Explainability by design: built into AI systems from the outset, not retrofitted. And inference prohibitions enforced architecturally rather than by policy attestation alone.</w:t>
      </w:r>
    </w:p>
    <w:p>
      <w:pPr>
        <w:pBdr>
          <w:left w:val="single" w:color="C9A84C" w:sz="12" w:space="12"/>
        </w:pBdr>
        <w:spacing w:after="200" w:before="200"/>
        <w:ind w:left="480" w:right="480"/>
      </w:pPr>
      <w:r>
        <w:rPr>
          <w:rFonts w:ascii="Georgia" w:cs="Georgia" w:eastAsia="Georgia" w:hAnsi="Georgia"/>
          <w:i/>
          <w:iCs/>
          <w:color w:val="1B2A4A"/>
          <w:sz w:val="21"/>
          <w:szCs w:val="21"/>
        </w:rPr>
        <w:t xml:space="preserve">Most deployed government AI systems cannot currently meet the explainability standard. Vendors who build explainability in from the design stage are structurally positioned for the procurement environment that GAAFA creates. The window for that investment is now; retrofitting is an order of magnitude more expensive than building in.</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V. Procurement as the Leverage Point</w:t>
      </w:r>
    </w:p>
    <w:p>
      <w:pPr>
        <w:spacing w:after="80" w:before="240"/>
      </w:pPr>
      <w:r>
        <w:rPr>
          <w:rFonts w:ascii="Palatino Linotype" w:cs="Palatino Linotype" w:eastAsia="Palatino Linotype" w:hAnsi="Palatino Linotype"/>
          <w:b/>
          <w:bCs/>
          <w:color w:val="C9A84C"/>
          <w:sz w:val="22"/>
          <w:szCs w:val="22"/>
        </w:rPr>
        <w:t xml:space="preserve">The Current Procurement Problem</w:t>
      </w:r>
    </w:p>
    <w:p>
      <w:pPr>
        <w:spacing w:after="80" w:before="80"/>
        <w:jc w:val="both"/>
      </w:pPr>
      <w:r>
        <w:rPr>
          <w:rFonts w:ascii="Georgia" w:cs="Georgia" w:eastAsia="Georgia" w:hAnsi="Georgia"/>
          <w:color w:val="1F2937"/>
          <w:sz w:val="21"/>
          <w:szCs w:val="21"/>
        </w:rPr>
        <w:t xml:space="preserve">Compliant architecture does not help practitioners if the procurement process has no mechanism to recognize and reward it. Three pathologies define current government procurement of genuinely novel AI technology. The forced-fit failure: novel AI procurement forced into competitive sealed proposal frameworks designed for defined products, where award goes to the vendor who best mirrors an outdated specification rather than the one with the better solution. Solution bias: specifications that describe means rather than ends, excluding genuinely innovative approaches before evaluation begins. The sole source trap: urgency-driven sole source awards that create vendor lock-in before the solution space has been explored, producing either failed approaches with no alternatives or production negotiations against a captive vendor.</w:t>
      </w:r>
    </w:p>
    <w:p>
      <w:pPr>
        <w:spacing w:after="80" w:before="80"/>
        <w:jc w:val="both"/>
      </w:pPr>
      <w:r>
        <w:rPr>
          <w:rFonts w:ascii="Georgia" w:cs="Georgia" w:eastAsia="Georgia" w:hAnsi="Georgia"/>
          <w:color w:val="1F2937"/>
          <w:sz w:val="21"/>
          <w:szCs w:val="21"/>
        </w:rPr>
        <w:t xml:space="preserve">These pathologies are not just procurement inefficiency. They are the mechanism by which GAAFA-compliant vendors lose to non-compliant ones in government AI markets. If the specification does not distinguish between explainable and black-box systems, compliance investment produces no competitive return.</w:t>
      </w:r>
    </w:p>
    <w:p>
      <w:pPr>
        <w:spacing w:after="80" w:before="240"/>
      </w:pPr>
      <w:r>
        <w:rPr>
          <w:rFonts w:ascii="Palatino Linotype" w:cs="Palatino Linotype" w:eastAsia="Palatino Linotype" w:hAnsi="Palatino Linotype"/>
          <w:b/>
          <w:bCs/>
          <w:color w:val="C9A84C"/>
          <w:sz w:val="22"/>
          <w:szCs w:val="22"/>
        </w:rPr>
        <w:t xml:space="preserve">Article 3B: A Procurement Framework Built for This</w:t>
      </w:r>
    </w:p>
    <w:p>
      <w:pPr>
        <w:spacing w:after="80" w:before="80"/>
        <w:jc w:val="both"/>
      </w:pPr>
      <w:r>
        <w:rPr>
          <w:rFonts w:ascii="Georgia" w:cs="Georgia" w:eastAsia="Georgia" w:hAnsi="Georgia"/>
          <w:color w:val="1F2937"/>
          <w:sz w:val="21"/>
          <w:szCs w:val="21"/>
        </w:rPr>
        <w:t xml:space="preserve">Article 3B is a proposed addition to the ABA Model Procurement Code for State and Local Governments, drafted by the author of this document and submitted to the ABA State and Local Government Procurement Law Review Committee. The draft is open for practitioner input. Four features define the framework.</w:t>
      </w:r>
    </w:p>
    <w:p>
      <w:pPr>
        <w:spacing w:after="100" w:before="100"/>
      </w:pPr>
      <w:r>
        <w:rPr>
          <w:rFonts w:ascii="Georgia" w:cs="Georgia" w:eastAsia="Georgia" w:hAnsi="Georgia"/>
          <w:b/>
          <w:bCs/>
          <w:color w:val="1B2A4A"/>
          <w:sz w:val="21"/>
          <w:szCs w:val="21"/>
        </w:rPr>
        <w:t xml:space="preserve">Phased Multi-Vendor Competition: </w:t>
      </w:r>
      <w:r>
        <w:rPr>
          <w:rFonts w:ascii="Georgia" w:cs="Georgia" w:eastAsia="Georgia" w:hAnsi="Georgia"/>
          <w:color w:val="1F2937"/>
          <w:sz w:val="21"/>
          <w:szCs w:val="21"/>
        </w:rPr>
        <w:t xml:space="preserve">Phase 1 allows up to ten vendors to explore conceptual approaches in sandboxed environments. Phase 2 narrows to up to five vendors building working prototypes. Phase 3 narrows to two or three vendors validating against real conditions. Competition is maintained through the full exploratory arc. No premature lock-in. No sole source awards before the solution space is understood.</w:t>
      </w:r>
    </w:p>
    <w:p>
      <w:pPr>
        <w:spacing w:after="100" w:before="100"/>
      </w:pPr>
      <w:r>
        <w:rPr>
          <w:rFonts w:ascii="Georgia" w:cs="Georgia" w:eastAsia="Georgia" w:hAnsi="Georgia"/>
          <w:b/>
          <w:bCs/>
          <w:color w:val="1B2A4A"/>
          <w:sz w:val="21"/>
          <w:szCs w:val="21"/>
        </w:rPr>
        <w:t xml:space="preserve">Outcome-Based Specifications: </w:t>
      </w:r>
      <w:r>
        <w:rPr>
          <w:rFonts w:ascii="Georgia" w:cs="Georgia" w:eastAsia="Georgia" w:hAnsi="Georgia"/>
          <w:color w:val="1F2937"/>
          <w:sz w:val="21"/>
          <w:szCs w:val="21"/>
        </w:rPr>
        <w:t xml:space="preserve">Solicitations describe functional need and measurable outcomes, not technology choices. An open market consultation is required before the solicitation is issued. Solution bias is eliminated by design. The government learns what it does not know before writing what it wants.</w:t>
      </w:r>
    </w:p>
    <w:p>
      <w:pPr>
        <w:spacing w:after="100" w:before="100"/>
      </w:pPr>
      <w:r>
        <w:rPr>
          <w:rFonts w:ascii="Georgia" w:cs="Georgia" w:eastAsia="Georgia" w:hAnsi="Georgia"/>
          <w:b/>
          <w:bCs/>
          <w:color w:val="1B2A4A"/>
          <w:sz w:val="21"/>
          <w:szCs w:val="21"/>
        </w:rPr>
        <w:t xml:space="preserve">The MVP as Bridge to Production: </w:t>
      </w:r>
      <w:r>
        <w:rPr>
          <w:rFonts w:ascii="Georgia" w:cs="Georgia" w:eastAsia="Georgia" w:hAnsi="Georgia"/>
          <w:color w:val="1F2937"/>
          <w:sz w:val="21"/>
          <w:szCs w:val="21"/>
        </w:rPr>
        <w:t xml:space="preserve">The Minimum Viable Product produced in Phase 3 becomes the specification baseline for production procurement. Government enters production procurement knowing, from evidence rather than assertion, what is achievable at what cost under what conditions.</w:t>
      </w:r>
    </w:p>
    <w:p>
      <w:pPr>
        <w:spacing w:after="100" w:before="100"/>
      </w:pPr>
      <w:r>
        <w:rPr>
          <w:rFonts w:ascii="Georgia" w:cs="Georgia" w:eastAsia="Georgia" w:hAnsi="Georgia"/>
          <w:b/>
          <w:bCs/>
          <w:color w:val="1B2A4A"/>
          <w:sz w:val="21"/>
          <w:szCs w:val="21"/>
        </w:rPr>
        <w:t xml:space="preserve">Fiduciary Commons Integration: </w:t>
      </w:r>
      <w:r>
        <w:rPr>
          <w:rFonts w:ascii="Georgia" w:cs="Georgia" w:eastAsia="Georgia" w:hAnsi="Georgia"/>
          <w:color w:val="1F2937"/>
          <w:sz w:val="21"/>
          <w:szCs w:val="21"/>
        </w:rPr>
        <w:t xml:space="preserve">The citizen data carve-out and flow-down clauses to subcontractors are built into the framework. Compliant vendors are structurally advantaged because the procurement was designed around the duties that VIDA, PDTA, and GAAFA create.</w:t>
      </w:r>
    </w:p>
    <w:p>
      <w:pPr>
        <w:spacing w:after="80" w:before="240"/>
      </w:pPr>
      <w:r>
        <w:rPr>
          <w:rFonts w:ascii="Palatino Linotype" w:cs="Palatino Linotype" w:eastAsia="Palatino Linotype" w:hAnsi="Palatino Linotype"/>
          <w:b/>
          <w:bCs/>
          <w:color w:val="C9A84C"/>
          <w:sz w:val="22"/>
          <w:szCs w:val="22"/>
        </w:rPr>
        <w:t xml:space="preserve">The Market-Shaping Window</w:t>
      </w:r>
    </w:p>
    <w:p>
      <w:pPr>
        <w:spacing w:after="80" w:before="80"/>
        <w:jc w:val="both"/>
      </w:pPr>
      <w:r>
        <w:rPr>
          <w:rFonts w:ascii="Georgia" w:cs="Georgia" w:eastAsia="Georgia" w:hAnsi="Georgia"/>
          <w:color w:val="1F2937"/>
          <w:sz w:val="21"/>
          <w:szCs w:val="21"/>
        </w:rPr>
        <w:t xml:space="preserve">Standards set early in a technology's development are far more durable and far less costly to enforce than standards imposed after market patterns solidify. When government consortia using Article 3B specify citizen data protection, interoperability, and inference prohibitions as acceptance criteria, vendors who want those contracts build to those standards across their entire product development. The market signal precedes the statutory mandate. Vendors who build to GAAFA-compatible standards now set the baseline against which the mandate will be measured.</w:t>
      </w:r>
    </w:p>
    <w:p>
      <w:pPr>
        <w:spacing w:after="80" w:before="80"/>
        <w:jc w:val="both"/>
      </w:pPr>
      <w:r>
        <w:rPr>
          <w:rFonts w:ascii="Georgia" w:cs="Georgia" w:eastAsia="Georgia" w:hAnsi="Georgia"/>
          <w:color w:val="1F2937"/>
          <w:sz w:val="21"/>
          <w:szCs w:val="21"/>
        </w:rPr>
        <w:t xml:space="preserve">The window for that investment is the period before deployment at scale, precisely when PoC procurement is most relevant. Practitioners who engage with the Article 3B framework now, providing input on what compliance standards should require in procurement specifications, are shaping the market architecture for government AI procurement for the next decade. That opportunity is available and closing.</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VI. Three Specific Actions</w:t>
      </w:r>
    </w:p>
    <w:p>
      <w:pPr>
        <w:spacing w:after="80" w:before="80"/>
        <w:jc w:val="both"/>
      </w:pPr>
      <w:r>
        <w:rPr>
          <w:rFonts w:ascii="Georgia" w:cs="Georgia" w:eastAsia="Georgia" w:hAnsi="Georgia"/>
          <w:color w:val="1F2937"/>
          <w:sz w:val="21"/>
          <w:szCs w:val="21"/>
        </w:rPr>
        <w:t xml:space="preserve">The Fiduciary Commons framework asks three specific things of the practitioners who build identity and AI systems for government markets. These are commercial actions, not political ones.</w:t>
      </w:r>
    </w:p>
    <w:p>
      <w:pPr>
        <w:spacing w:after="100" w:before="100"/>
      </w:pPr>
      <w:r>
        <w:rPr>
          <w:rFonts w:ascii="Georgia" w:cs="Georgia" w:eastAsia="Georgia" w:hAnsi="Georgia"/>
          <w:b/>
          <w:bCs/>
          <w:color w:val="1B2A4A"/>
          <w:sz w:val="21"/>
          <w:szCs w:val="21"/>
        </w:rPr>
        <w:t xml:space="preserve">Identify one state procurement relationship: </w:t>
      </w:r>
      <w:r>
        <w:rPr>
          <w:rFonts w:ascii="Georgia" w:cs="Georgia" w:eastAsia="Georgia" w:hAnsi="Georgia"/>
          <w:color w:val="1F2937"/>
          <w:sz w:val="21"/>
          <w:szCs w:val="21"/>
        </w:rPr>
        <w:t xml:space="preserve">Ask the state CIO whether the procurement code has a proof-of-concept pathway for genuinely novel technology. Most state procurement codes do not have one. You now know what gap to name, why it exists, and what Article 3B provides as the solution. That is a specific and useful conversation with a direct commercial payoff.</w:t>
      </w:r>
    </w:p>
    <w:p>
      <w:pPr>
        <w:spacing w:after="100" w:before="100"/>
      </w:pPr>
      <w:r>
        <w:rPr>
          <w:rFonts w:ascii="Georgia" w:cs="Georgia" w:eastAsia="Georgia" w:hAnsi="Georgia"/>
          <w:b/>
          <w:bCs/>
          <w:color w:val="1B2A4A"/>
          <w:sz w:val="21"/>
          <w:szCs w:val="21"/>
        </w:rPr>
        <w:t xml:space="preserve">Build toward GAAFA compliance now and document it: </w:t>
      </w:r>
      <w:r>
        <w:rPr>
          <w:rFonts w:ascii="Georgia" w:cs="Georgia" w:eastAsia="Georgia" w:hAnsi="Georgia"/>
          <w:color w:val="1F2937"/>
          <w:sz w:val="21"/>
          <w:szCs w:val="21"/>
        </w:rPr>
        <w:t xml:space="preserve">The statute does not yet exist in most states. The architecture can be built today. Documented compliance-readiness is the evidence base that procurement officers and legislative staff need to write specifications and statutory language. Your technical work becomes the proof that the standard is achievable. Without that evidence, specifications default to what is already deployed rather than what is possible.</w:t>
      </w:r>
    </w:p>
    <w:p>
      <w:pPr>
        <w:spacing w:after="100" w:before="100"/>
      </w:pPr>
      <w:r>
        <w:rPr>
          <w:rFonts w:ascii="Georgia" w:cs="Georgia" w:eastAsia="Georgia" w:hAnsi="Georgia"/>
          <w:b/>
          <w:bCs/>
          <w:color w:val="1B2A4A"/>
          <w:sz w:val="21"/>
          <w:szCs w:val="21"/>
        </w:rPr>
        <w:t xml:space="preserve">Engage with the Article 3B draft directly: </w:t>
      </w:r>
      <w:r>
        <w:rPr>
          <w:rFonts w:ascii="Georgia" w:cs="Georgia" w:eastAsia="Georgia" w:hAnsi="Georgia"/>
          <w:color w:val="1F2937"/>
          <w:sz w:val="21"/>
          <w:szCs w:val="21"/>
        </w:rPr>
        <w:t xml:space="preserve">Vendor-side input is underrepresented in procurement law reform and is genuinely needed. The draft provisions were developed with practitioner experience in view but benefit from people who have been inside government AI procurements. The model statutes, the Article 3B draft, and the coalition contacts are at fiduciarycommons.com. Direct engagement: michael@fiduciarycommons.com.</w:t>
      </w:r>
    </w:p>
    <w:p>
      <w:pPr>
        <w:pBdr>
          <w:left w:val="single" w:color="C9A84C" w:sz="12" w:space="12"/>
        </w:pBdr>
        <w:spacing w:after="200" w:before="200"/>
        <w:ind w:left="480" w:right="480"/>
      </w:pPr>
      <w:r>
        <w:rPr>
          <w:rFonts w:ascii="Georgia" w:cs="Georgia" w:eastAsia="Georgia" w:hAnsi="Georgia"/>
          <w:i/>
          <w:iCs/>
          <w:color w:val="1B2A4A"/>
          <w:sz w:val="21"/>
          <w:szCs w:val="21"/>
        </w:rPr>
        <w:t xml:space="preserve">The Fiduciary Commons is an open project. The more practitioners are involved in shaping it, the better it will be and the more likely the resulting law will be technically achievable, commercially workable, and constitutionally sound.</w:t>
      </w:r>
    </w:p>
    <w:p>
      <w:pPr>
        <w:pBdr>
          <w:bottom w:val="single" w:color="C9A84C" w:sz="4" w:space="1"/>
        </w:pBdr>
        <w:spacing w:after="240" w:before="240"/>
      </w:pPr>
      <w:r>
        <w:t xml:space="preserve"/>
      </w:r>
    </w:p>
    <w:p>
      <w:pPr>
        <w:spacing w:after="120" w:before="400"/>
      </w:pPr>
      <w:r>
        <w:rPr>
          <w:rFonts w:ascii="Palatino Linotype" w:cs="Palatino Linotype" w:eastAsia="Palatino Linotype" w:hAnsi="Palatino Linotype"/>
          <w:b/>
          <w:bCs/>
          <w:caps/>
          <w:color w:val="1B2A4A"/>
          <w:sz w:val="26"/>
          <w:szCs w:val="26"/>
        </w:rPr>
        <w:t xml:space="preserve">Resources</w:t>
      </w:r>
    </w:p>
    <w:p>
      <w:pPr>
        <w:spacing w:after="100" w:before="100"/>
      </w:pPr>
      <w:r>
        <w:rPr>
          <w:rFonts w:ascii="Georgia" w:cs="Georgia" w:eastAsia="Georgia" w:hAnsi="Georgia"/>
          <w:b/>
          <w:bCs/>
          <w:color w:val="1B2A4A"/>
          <w:sz w:val="21"/>
          <w:szCs w:val="21"/>
        </w:rPr>
        <w:t xml:space="preserve">fiduciarycommons.com: </w:t>
      </w:r>
      <w:r>
        <w:rPr>
          <w:rFonts w:ascii="Georgia" w:cs="Georgia" w:eastAsia="Georgia" w:hAnsi="Georgia"/>
          <w:color w:val="1F2937"/>
          <w:sz w:val="21"/>
          <w:szCs w:val="21"/>
        </w:rPr>
        <w:t xml:space="preserve">Model statutes (VIDA, PDTA, GAAFA), Article 3B draft procurement framework, Utah legislative materials (SB 260, SB 275), constitutional framework documentation, and legislative resources for states considering adoption.</w:t>
      </w:r>
    </w:p>
    <w:p>
      <w:pPr>
        <w:spacing w:after="100" w:before="100"/>
      </w:pPr>
      <w:r>
        <w:rPr>
          <w:rFonts w:ascii="Georgia" w:cs="Georgia" w:eastAsia="Georgia" w:hAnsi="Georgia"/>
          <w:b/>
          <w:bCs/>
          <w:color w:val="1B2A4A"/>
          <w:sz w:val="21"/>
          <w:szCs w:val="21"/>
        </w:rPr>
        <w:t xml:space="preserve">Contact: </w:t>
      </w:r>
      <w:r>
        <w:rPr>
          <w:rFonts w:ascii="Georgia" w:cs="Georgia" w:eastAsia="Georgia" w:hAnsi="Georgia"/>
          <w:color w:val="1F2937"/>
          <w:sz w:val="21"/>
          <w:szCs w:val="21"/>
        </w:rPr>
        <w:t xml:space="preserve">michael@fiduciarycommons.com</w:t>
      </w:r>
    </w:p>
    <w:p>
      <w:pPr>
        <w:spacing w:after="80" w:before="80"/>
      </w:pPr>
      <w:r>
        <w:t xml:space="preserve"/>
      </w:r>
    </w:p>
    <w:p>
      <w:pPr>
        <w:spacing w:after="40" w:before="80"/>
      </w:pPr>
      <w:r>
        <w:rPr>
          <w:rFonts w:ascii="Palatino Linotype" w:cs="Palatino Linotype" w:eastAsia="Palatino Linotype" w:hAnsi="Palatino Linotype"/>
          <w:b/>
          <w:bCs/>
          <w:color w:val="1B2A4A"/>
          <w:sz w:val="20"/>
          <w:szCs w:val="20"/>
        </w:rPr>
        <w:t xml:space="preserve">About the Author</w:t>
      </w:r>
    </w:p>
    <w:p>
      <w:pPr>
        <w:spacing w:after="0" w:before="0"/>
      </w:pPr>
      <w:r>
        <w:rPr>
          <w:rFonts w:ascii="Georgia" w:cs="Georgia" w:eastAsia="Georgia" w:hAnsi="Georgia"/>
          <w:color w:val="4B5563"/>
          <w:sz w:val="19"/>
          <w:szCs w:val="19"/>
        </w:rPr>
        <w:t xml:space="preserve">Mike Leahy served as Maryland Secretary of Information Technology from 2017 to 2023 and as President of the National Association of State Chief Information Officers (NASCIO) in 2021 and 2022. A lawyer and practitioner-scholar, he is the author of the Fiduciary Commons framework and the proposed Article 3B provisions submitted to the ABA State and Local Government Procurement Law Review Committee. He welcomes engagement from identity vendors, protocol designers, standards bodies, and policymakers working in the digital identity and government AI space.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2026-04-25T21:55:18.805Z</dcterms:created>
  <dcterms:modified xsi:type="dcterms:W3CDTF">2026-04-25T21:55:18.806Z</dcterms:modified>
</cp:coreProperties>
</file>

<file path=docProps/custom.xml><?xml version="1.0" encoding="utf-8"?>
<Properties xmlns="http://schemas.openxmlformats.org/officeDocument/2006/custom-properties" xmlns:vt="http://schemas.openxmlformats.org/officeDocument/2006/docPropsVTypes"/>
</file>