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Palatino Linotype" w:cs="Palatino Linotype" w:eastAsia="Palatino Linotype" w:hAnsi="Palatino Linotype"/>
          <w:b/>
          <w:bCs/>
          <w:caps/>
          <w:color w:val="C9A84C"/>
          <w:spacing w:val="40"/>
          <w:sz w:val="16"/>
          <w:szCs w:val="16"/>
        </w:rPr>
        <w:t xml:space="preserve">The Fiduciary Commons  |  Practitioner Reference Card</w:t>
      </w:r>
    </w:p>
    <w:p>
      <w:pPr>
        <w:spacing w:after="80" w:before="0"/>
      </w:pPr>
      <w:r>
        <w:rPr>
          <w:rFonts w:ascii="Palatino Linotype" w:cs="Palatino Linotype" w:eastAsia="Palatino Linotype" w:hAnsi="Palatino Linotype"/>
          <w:b/>
          <w:bCs/>
          <w:color w:val="1B2A4A"/>
          <w:sz w:val="36"/>
          <w:szCs w:val="36"/>
        </w:rPr>
        <w:t xml:space="preserve">Government, Citizen Data,
and the AI Accountability Gap</w:t>
      </w:r>
    </w:p>
    <w:p>
      <w:pPr>
        <w:spacing w:after="280" w:before="0"/>
      </w:pPr>
      <w:r>
        <w:rPr>
          <w:rFonts w:ascii="Georgia" w:cs="Georgia" w:eastAsia="Georgia" w:hAnsi="Georgia"/>
          <w:i/>
          <w:iCs/>
          <w:color w:val="4B5563"/>
          <w:sz w:val="20"/>
          <w:szCs w:val="20"/>
        </w:rPr>
        <w:t xml:space="preserve">What every identity vendor, protocol designer, and government technology official needs to know</w:t>
      </w:r>
    </w:p>
    <w:p>
      <w:pPr>
        <w:pBdr>
          <w:bottom w:val="single" w:color="C9A84C" w:sz="6" w:space="1"/>
        </w:pBdr>
        <w:spacing w:after="220" w:before="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The Core Argument in One Paragraph</w:t>
      </w:r>
    </w:p>
    <w:p>
      <w:pPr>
        <w:spacing w:after="60" w:before="60"/>
        <w:jc w:val="both"/>
      </w:pPr>
      <w:r>
        <w:rPr>
          <w:rFonts w:ascii="Georgia" w:cs="Georgia" w:eastAsia="Georgia" w:hAnsi="Georgia"/>
          <w:color w:val="1F2937"/>
          <w:sz w:val="20"/>
          <w:szCs w:val="20"/>
        </w:rPr>
        <w:t xml:space="preserve">Government holds citizen data not as a property owner but as a constitutional fiduciary, bound by duties of loyalty, care, and transparency. That obligation is not new: the framers embedded it in the constitutional structure. What is new is the statutory architecture to make it enforceable. Utah enacted the first two pieces of that architecture unanimously in 2025 and 2026. The third piece, governing AI and inference, remains unenacted anywhere. The window to get it right, through compliant architecture and sound procurement, is open and closing.</w:t>
      </w:r>
    </w:p>
    <w:p>
      <w:pPr>
        <w:spacing w:after="80" w:before="280"/>
      </w:pPr>
      <w:r>
        <w:rPr>
          <w:rFonts w:ascii="Palatino Linotype" w:cs="Palatino Linotype" w:eastAsia="Palatino Linotype" w:hAnsi="Palatino Linotype"/>
          <w:b/>
          <w:bCs/>
          <w:caps/>
          <w:color w:val="C9A84C"/>
          <w:spacing w:val="30"/>
          <w:sz w:val="18"/>
          <w:szCs w:val="18"/>
        </w:rPr>
        <w:t xml:space="preserve">Three Failure Scenarios Happening Now</w:t>
      </w:r>
    </w:p>
    <w:p>
      <w:pPr>
        <w:spacing w:after="40" w:before="200"/>
      </w:pPr>
      <w:r>
        <w:rPr>
          <w:rFonts w:ascii="Palatino Linotype" w:cs="Palatino Linotype" w:eastAsia="Palatino Linotype" w:hAnsi="Palatino Linotype"/>
          <w:b/>
          <w:bCs/>
          <w:color w:val="1B2A4A"/>
          <w:sz w:val="22"/>
          <w:szCs w:val="22"/>
        </w:rPr>
        <w:t xml:space="preserve">VIDA without PDTA: surveillance survives correct architecture.</w:t>
      </w:r>
    </w:p>
    <w:p>
      <w:pPr>
        <w:spacing w:after="60" w:before="60"/>
        <w:jc w:val="both"/>
      </w:pPr>
      <w:r>
        <w:rPr>
          <w:rFonts w:ascii="Georgia" w:cs="Georgia" w:eastAsia="Georgia" w:hAnsi="Georgia"/>
          <w:color w:val="1F2937"/>
          <w:sz w:val="20"/>
          <w:szCs w:val="20"/>
        </w:rPr>
        <w:t xml:space="preserve">A technically perfect credential system issues selective disclosure credentials. Zero-knowledge proofs verify eligibility without transmitting underlying data. Every VIDA requirement is met. But verification metadata, recording who presented credentials, to which agency, when and where, is legally unprotected. Without purpose limitation and fiduciary duties, that residue is aggregated into a behavioral profile constitutionally indistinguishable from the surveillance the credential was designed to prevent. The vendor's name is on the contract. The missing statute has no name.</w:t>
      </w:r>
    </w:p>
    <w:p>
      <w:pPr>
        <w:spacing w:after="40" w:before="200"/>
      </w:pPr>
      <w:r>
        <w:rPr>
          <w:rFonts w:ascii="Palatino Linotype" w:cs="Palatino Linotype" w:eastAsia="Palatino Linotype" w:hAnsi="Palatino Linotype"/>
          <w:b/>
          <w:bCs/>
          <w:color w:val="1B2A4A"/>
          <w:sz w:val="22"/>
          <w:szCs w:val="22"/>
        </w:rPr>
        <w:t xml:space="preserve">PDTA without VIDA: the legal duty is architecturally unachievable.</w:t>
      </w:r>
    </w:p>
    <w:p>
      <w:pPr>
        <w:spacing w:after="60" w:before="60"/>
        <w:jc w:val="both"/>
      </w:pPr>
      <w:r>
        <w:rPr>
          <w:rFonts w:ascii="Georgia" w:cs="Georgia" w:eastAsia="Georgia" w:hAnsi="Georgia"/>
          <w:color w:val="1F2937"/>
          <w:sz w:val="20"/>
          <w:szCs w:val="20"/>
        </w:rPr>
        <w:t xml:space="preserve">Fiduciary duties requiring data minimization, purpose limitation, and individual-controlled audit trails are imposed on agencies whose infrastructure is a centralized database with no zero-knowledge capability and no cryptographic audit trail. Vendors are asked to certify compliance with a standard the system cannot structurally meet. They face liability for secondary data use they had no power to prevent. The law created a duty. The absence of VIDA made the duty impossible. The vendor bears the consequences of both.</w:t>
      </w:r>
    </w:p>
    <w:p>
      <w:pPr>
        <w:spacing w:after="40" w:before="200"/>
      </w:pPr>
      <w:r>
        <w:rPr>
          <w:rFonts w:ascii="Palatino Linotype" w:cs="Palatino Linotype" w:eastAsia="Palatino Linotype" w:hAnsi="Palatino Linotype"/>
          <w:b/>
          <w:bCs/>
          <w:color w:val="1B2A4A"/>
          <w:sz w:val="22"/>
          <w:szCs w:val="22"/>
        </w:rPr>
        <w:t xml:space="preserve">Fragmentation: compliance cost is multiplicative, not additive.</w:t>
      </w:r>
    </w:p>
    <w:p>
      <w:pPr>
        <w:spacing w:after="60" w:before="60"/>
        <w:jc w:val="both"/>
      </w:pPr>
      <w:r>
        <w:rPr>
          <w:rFonts w:ascii="Georgia" w:cs="Georgia" w:eastAsia="Georgia" w:hAnsi="Georgia"/>
          <w:color w:val="1F2937"/>
          <w:sz w:val="20"/>
          <w:szCs w:val="20"/>
        </w:rPr>
        <w:t xml:space="preserve">Each state that enacts a different partial version of the framework adds not one unit of compliance cost but multiplies the complexity of every decision that crosses state lines. Three states with three incompatible frameworks produce edge cases requiring expensive legal analysis in every jurisdiction, compliance architectures that cannot be standardized, and contract pricing that reflects the complexity government created. A uniform multi-state framework produces one compliance architecture, one audit standard, and competitive procurement conditions.</w:t>
      </w:r>
    </w:p>
    <w:p>
      <w:pPr>
        <w:pBdr>
          <w:left w:val="single" w:color="C9A84C" w:sz="14" w:space="14"/>
        </w:pBdr>
        <w:spacing w:after="200" w:before="200"/>
        <w:ind w:left="400" w:right="400"/>
      </w:pPr>
      <w:r>
        <w:rPr>
          <w:rFonts w:ascii="Georgia" w:cs="Georgia" w:eastAsia="Georgia" w:hAnsi="Georgia"/>
          <w:b/>
          <w:bCs/>
          <w:i/>
          <w:iCs/>
          <w:color w:val="1B2A4A"/>
          <w:sz w:val="21"/>
          <w:szCs w:val="21"/>
        </w:rPr>
        <w:t xml:space="preserve">The vendor's name is on the contract. The regulatory gap has no name. Legislative committees call the vendor. No one calls the gap. This asymmetry will not resolve itself without practitioner engagement.</w:t>
      </w:r>
    </w:p>
    <w:p>
      <w:r>
        <w:br/>
      </w:r>
    </w:p>
    <w:p>
      <w:pPr>
        <w:spacing w:after="80" w:before="280"/>
      </w:pPr>
      <w:r>
        <w:rPr>
          <w:rFonts w:ascii="Palatino Linotype" w:cs="Palatino Linotype" w:eastAsia="Palatino Linotype" w:hAnsi="Palatino Linotype"/>
          <w:b/>
          <w:bCs/>
          <w:caps/>
          <w:color w:val="C9A84C"/>
          <w:spacing w:val="30"/>
          <w:sz w:val="18"/>
          <w:szCs w:val="18"/>
        </w:rPr>
        <w:t xml:space="preserve">What the AI Layer Requires: Four Properties</w:t>
      </w:r>
    </w:p>
    <w:p>
      <w:pPr>
        <w:spacing w:after="60" w:before="60"/>
        <w:jc w:val="both"/>
      </w:pPr>
      <w:r>
        <w:rPr>
          <w:rFonts w:ascii="Georgia" w:cs="Georgia" w:eastAsia="Georgia" w:hAnsi="Georgia"/>
          <w:color w:val="1F2937"/>
          <w:sz w:val="20"/>
          <w:szCs w:val="20"/>
        </w:rPr>
        <w:t xml:space="preserve">VIDA and PDTA protect what is collected and how it is held. GAAFA, the third model statute, addresses what AI reconstructs from what is collected. A system that never collects a fact can still infer it from transaction patterns. The Supreme Court recognized this dynamic in Carpenter v. United States (2018), holding that aggregate location data reveals the privacies of life in ways no single data point does, and declining to extend the Third Party Doctrine to digital-scale collection. GAAFA is the statutory mechanism that closes the gap between what government cannot collect and what government cannot infer. Four architectural properties define compliance.</w:t>
      </w:r>
    </w:p>
    <w:p>
      <w:pPr>
        <w:spacing w:after="60" w:before="60"/>
        <w:ind w:left="360" w:hanging="280"/>
      </w:pPr>
      <w:r>
        <w:rPr>
          <w:rFonts w:ascii="Georgia" w:cs="Georgia" w:eastAsia="Georgia" w:hAnsi="Georgia"/>
          <w:b/>
          <w:bCs/>
          <w:color w:val="C9A84C"/>
          <w:sz w:val="20"/>
          <w:szCs w:val="20"/>
        </w:rPr>
        <w:t xml:space="preserve">✓  </w:t>
      </w:r>
      <w:r>
        <w:rPr>
          <w:rFonts w:ascii="Georgia" w:cs="Georgia" w:eastAsia="Georgia" w:hAnsi="Georgia"/>
          <w:color w:val="1F2937"/>
          <w:sz w:val="20"/>
          <w:szCs w:val="20"/>
        </w:rPr>
        <w:t xml:space="preserve">Purpose-sequestered databases: separate data stores scoped to collection purpose, with AI access gated by purpose-matching logic and a documented audit trail. The inference engine is bounded by the authority under which the data was collected. Cross-purpose queries require documented authorization.</w:t>
      </w:r>
    </w:p>
    <w:p>
      <w:pPr>
        <w:spacing w:after="60" w:before="60"/>
        <w:ind w:left="360" w:hanging="280"/>
      </w:pPr>
      <w:r>
        <w:rPr>
          <w:rFonts w:ascii="Georgia" w:cs="Georgia" w:eastAsia="Georgia" w:hAnsi="Georgia"/>
          <w:b/>
          <w:bCs/>
          <w:color w:val="C9A84C"/>
          <w:sz w:val="20"/>
          <w:szCs w:val="20"/>
        </w:rPr>
        <w:t xml:space="preserve">✓  </w:t>
      </w:r>
      <w:r>
        <w:rPr>
          <w:rFonts w:ascii="Georgia" w:cs="Georgia" w:eastAsia="Georgia" w:hAnsi="Georgia"/>
          <w:color w:val="1F2937"/>
          <w:sz w:val="20"/>
          <w:szCs w:val="20"/>
        </w:rPr>
        <w:t xml:space="preserve">Cryptographic, individual-controlled, immutable audit trails: each access event hashed and chained, modification detectable, the data subject able to inspect the complete record of every query against their data. All three properties are required. Two out of three is not compliant.</w:t>
      </w:r>
    </w:p>
    <w:p>
      <w:pPr>
        <w:spacing w:after="60" w:before="60"/>
        <w:ind w:left="360" w:hanging="280"/>
      </w:pPr>
      <w:r>
        <w:rPr>
          <w:rFonts w:ascii="Georgia" w:cs="Georgia" w:eastAsia="Georgia" w:hAnsi="Georgia"/>
          <w:b/>
          <w:bCs/>
          <w:color w:val="C9A84C"/>
          <w:sz w:val="20"/>
          <w:szCs w:val="20"/>
        </w:rPr>
        <w:t xml:space="preserve">✓  </w:t>
      </w:r>
      <w:r>
        <w:rPr>
          <w:rFonts w:ascii="Georgia" w:cs="Georgia" w:eastAsia="Georgia" w:hAnsi="Georgia"/>
          <w:color w:val="1F2937"/>
          <w:sz w:val="20"/>
          <w:szCs w:val="20"/>
        </w:rPr>
        <w:t xml:space="preserve">Explainability by design: AI-assisted decisions affecting citizen rights must identify the factors weighted, not merely the output, in terms the citizen can understand and contest. Applies to systems already deployed, not only systems being built. Retrofitting is an order of magnitude more expensive than building in.</w:t>
      </w:r>
    </w:p>
    <w:p>
      <w:pPr>
        <w:spacing w:after="60" w:before="60"/>
        <w:ind w:left="360" w:hanging="280"/>
      </w:pPr>
      <w:r>
        <w:rPr>
          <w:rFonts w:ascii="Georgia" w:cs="Georgia" w:eastAsia="Georgia" w:hAnsi="Georgia"/>
          <w:b/>
          <w:bCs/>
          <w:color w:val="C9A84C"/>
          <w:sz w:val="20"/>
          <w:szCs w:val="20"/>
        </w:rPr>
        <w:t xml:space="preserve">✓  </w:t>
      </w:r>
      <w:r>
        <w:rPr>
          <w:rFonts w:ascii="Georgia" w:cs="Georgia" w:eastAsia="Georgia" w:hAnsi="Georgia"/>
          <w:color w:val="1F2937"/>
          <w:sz w:val="20"/>
          <w:szCs w:val="20"/>
        </w:rPr>
        <w:t xml:space="preserve">Inference prohibitions enforced architecturally: purpose sequestration combined with access gating, not policy attestation alone. Government may not use AI to reconstruct data categories that applicable law prohibits collecting.</w:t>
      </w:r>
    </w:p>
    <w:p>
      <w:pPr>
        <w:pBdr>
          <w:bottom w:val="single" w:color="E5E7EB" w:sz="2" w:space="1"/>
        </w:pBdr>
        <w:spacing w:after="180" w:before="18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The Procurement Problem and the Fix</w:t>
      </w:r>
    </w:p>
    <w:p>
      <w:pPr>
        <w:spacing w:after="60" w:before="60"/>
        <w:jc w:val="both"/>
      </w:pPr>
      <w:r>
        <w:rPr>
          <w:rFonts w:ascii="Georgia" w:cs="Georgia" w:eastAsia="Georgia" w:hAnsi="Georgia"/>
          <w:color w:val="1F2937"/>
          <w:sz w:val="20"/>
          <w:szCs w:val="20"/>
        </w:rPr>
        <w:t xml:space="preserve">Compliant architecture does not help practitioners if the procurement process cannot recognize or reward it. Three pathologies define current government AI procurement: the forced-fit failure, where novel technology is crammed into competitive sealed proposal frameworks designed for defined products; solution bias, where specifications describe technology categories rather than outcomes, excluding innovative approaches before evaluation; and the sole source trap, where urgency creates vendor lock-in before the solution space is understood.</w:t>
      </w:r>
    </w:p>
    <w:p>
      <w:pPr>
        <w:spacing w:after="40" w:before="200"/>
      </w:pPr>
      <w:r>
        <w:rPr>
          <w:rFonts w:ascii="Palatino Linotype" w:cs="Palatino Linotype" w:eastAsia="Palatino Linotype" w:hAnsi="Palatino Linotype"/>
          <w:b/>
          <w:bCs/>
          <w:color w:val="1B2A4A"/>
          <w:sz w:val="22"/>
          <w:szCs w:val="22"/>
        </w:rPr>
        <w:t xml:space="preserve">Article 3B: proposed to the ABA Model Procurement Code by Mike Leahy.</w:t>
      </w:r>
    </w:p>
    <w:p>
      <w:pPr>
        <w:spacing w:after="60" w:before="60"/>
        <w:jc w:val="both"/>
      </w:pPr>
      <w:r>
        <w:rPr>
          <w:rFonts w:ascii="Georgia" w:cs="Georgia" w:eastAsia="Georgia" w:hAnsi="Georgia"/>
          <w:color w:val="1F2937"/>
          <w:sz w:val="20"/>
          <w:szCs w:val="20"/>
        </w:rPr>
        <w:t xml:space="preserve">Article 3B creates a legally sound procurement pathway for genuinely novel technology. Phased multi-vendor competition maintains competitive pressure through the full exploratory arc: up to ten vendors in Phase 1, five in Phase 2, two to three in Phase 3. Outcome-based specifications eliminate solution bias. The Minimum Viable Product produced in Phase 3 becomes the specification baseline for production, replacing pre-procurement assumptions with evidence. Citizen data carve-outs and flow-down clauses to subcontractors are built into the framework, structurally advantaging vendors who have invested in GAAFA-compatible architecture. The draft is open for practitioner input at fiduciarycommons.com.</w:t>
      </w:r>
    </w:p>
    <w:p>
      <w:pPr>
        <w:pBdr>
          <w:left w:val="single" w:color="C9A84C" w:sz="14" w:space="14"/>
        </w:pBdr>
        <w:spacing w:after="200" w:before="200"/>
        <w:ind w:left="400" w:right="400"/>
      </w:pPr>
      <w:r>
        <w:rPr>
          <w:rFonts w:ascii="Georgia" w:cs="Georgia" w:eastAsia="Georgia" w:hAnsi="Georgia"/>
          <w:b/>
          <w:bCs/>
          <w:i/>
          <w:iCs/>
          <w:color w:val="1B2A4A"/>
          <w:sz w:val="21"/>
          <w:szCs w:val="21"/>
        </w:rPr>
        <w:t xml:space="preserve">Standards set early in a technology's development are far more durable and far less costly to enforce than standards imposed after market patterns solidify. Government consortia using Article 3B embed compliance standards into procurement specifications before deployment. The vendors who build to those standards now set the baseline the statutory mandate will be measured against.</w:t>
      </w:r>
    </w:p>
    <w:p>
      <w:r>
        <w:br/>
      </w:r>
    </w:p>
    <w:p>
      <w:pPr>
        <w:spacing w:after="80" w:before="280"/>
      </w:pPr>
      <w:r>
        <w:rPr>
          <w:rFonts w:ascii="Palatino Linotype" w:cs="Palatino Linotype" w:eastAsia="Palatino Linotype" w:hAnsi="Palatino Linotype"/>
          <w:b/>
          <w:bCs/>
          <w:caps/>
          <w:color w:val="C9A84C"/>
          <w:spacing w:val="30"/>
          <w:sz w:val="18"/>
          <w:szCs w:val="18"/>
        </w:rPr>
        <w:t xml:space="preserve">Three Specific Actions</w:t>
      </w:r>
    </w:p>
    <w:p>
      <w:pPr>
        <w:spacing w:after="60" w:before="60"/>
        <w:jc w:val="both"/>
      </w:pPr>
      <w:r>
        <w:rPr>
          <w:rFonts w:ascii="Georgia" w:cs="Georgia" w:eastAsia="Georgia" w:hAnsi="Georgia"/>
          <w:color w:val="1F2937"/>
          <w:sz w:val="20"/>
          <w:szCs w:val="20"/>
        </w:rPr>
        <w:t xml:space="preserve">These are commercial actions, not political ones. Each has a direct return on the investment of time required.</w:t>
      </w:r>
    </w:p>
    <w:p>
      <w:pPr>
        <w:spacing w:after="40" w:before="200"/>
      </w:pPr>
      <w:r>
        <w:rPr>
          <w:rFonts w:ascii="Palatino Linotype" w:cs="Palatino Linotype" w:eastAsia="Palatino Linotype" w:hAnsi="Palatino Linotype"/>
          <w:b/>
          <w:bCs/>
          <w:color w:val="C9A84C"/>
          <w:sz w:val="22"/>
          <w:szCs w:val="22"/>
        </w:rPr>
        <w:t xml:space="preserve">1. </w:t>
      </w:r>
      <w:r>
        <w:rPr>
          <w:rFonts w:ascii="Palatino Linotype" w:cs="Palatino Linotype" w:eastAsia="Palatino Linotype" w:hAnsi="Palatino Linotype"/>
          <w:b/>
          <w:bCs/>
          <w:color w:val="1B2A4A"/>
          <w:sz w:val="22"/>
          <w:szCs w:val="22"/>
        </w:rPr>
        <w:t xml:space="preserve">Identify one state procurement relationship and ask the right question.</w:t>
      </w:r>
    </w:p>
    <w:p>
      <w:pPr>
        <w:spacing w:after="80" w:before="40"/>
        <w:ind w:left="360"/>
        <w:jc w:val="both"/>
      </w:pPr>
      <w:r>
        <w:rPr>
          <w:rFonts w:ascii="Georgia" w:cs="Georgia" w:eastAsia="Georgia" w:hAnsi="Georgia"/>
          <w:color w:val="1F2937"/>
          <w:sz w:val="20"/>
          <w:szCs w:val="20"/>
        </w:rPr>
        <w:t xml:space="preserve">Ask your state CIO contact whether the procurement code has a proof-of-concept pathway for genuinely novel technology. Most state codes do not. The forced-fit problem exists because the legal pathway for exploratory procurement is absent. You now know what gap to name, why it exists, and what Article 3B provides as the solution. That is a specific and useful conversation with a direct commercial payoff: a procurement framework that rewards compliant vendors is in your direct interest.</w:t>
      </w:r>
    </w:p>
    <w:p>
      <w:pPr>
        <w:spacing w:after="40" w:before="200"/>
      </w:pPr>
      <w:r>
        <w:rPr>
          <w:rFonts w:ascii="Palatino Linotype" w:cs="Palatino Linotype" w:eastAsia="Palatino Linotype" w:hAnsi="Palatino Linotype"/>
          <w:b/>
          <w:bCs/>
          <w:color w:val="C9A84C"/>
          <w:sz w:val="22"/>
          <w:szCs w:val="22"/>
        </w:rPr>
        <w:t xml:space="preserve">2. </w:t>
      </w:r>
      <w:r>
        <w:rPr>
          <w:rFonts w:ascii="Palatino Linotype" w:cs="Palatino Linotype" w:eastAsia="Palatino Linotype" w:hAnsi="Palatino Linotype"/>
          <w:b/>
          <w:bCs/>
          <w:color w:val="1B2A4A"/>
          <w:sz w:val="22"/>
          <w:szCs w:val="22"/>
        </w:rPr>
        <w:t xml:space="preserve">Build toward GAAFA compliance now and document it.</w:t>
      </w:r>
    </w:p>
    <w:p>
      <w:pPr>
        <w:spacing w:after="80" w:before="40"/>
        <w:ind w:left="360"/>
        <w:jc w:val="both"/>
      </w:pPr>
      <w:r>
        <w:rPr>
          <w:rFonts w:ascii="Georgia" w:cs="Georgia" w:eastAsia="Georgia" w:hAnsi="Georgia"/>
          <w:color w:val="1F2937"/>
          <w:sz w:val="20"/>
          <w:szCs w:val="20"/>
        </w:rPr>
        <w:t xml:space="preserve">The statute does not yet exist in most states. The architecture can be built today. Documented compliance-readiness is the evidence base procurement officers and legislative staff need to write specifications and statutory language that are technically achievable. When a legislative drafter asks whether a GAAFA requirement is implementable, the answer needs to come from vendors who have done the analysis. Your technical work becomes the proof. Without that evidence, requirements default to what is already deployed rather than what is possible.</w:t>
      </w:r>
    </w:p>
    <w:p>
      <w:pPr>
        <w:spacing w:after="40" w:before="200"/>
      </w:pPr>
      <w:r>
        <w:rPr>
          <w:rFonts w:ascii="Palatino Linotype" w:cs="Palatino Linotype" w:eastAsia="Palatino Linotype" w:hAnsi="Palatino Linotype"/>
          <w:b/>
          <w:bCs/>
          <w:color w:val="C9A84C"/>
          <w:sz w:val="22"/>
          <w:szCs w:val="22"/>
        </w:rPr>
        <w:t xml:space="preserve">3. </w:t>
      </w:r>
      <w:r>
        <w:rPr>
          <w:rFonts w:ascii="Palatino Linotype" w:cs="Palatino Linotype" w:eastAsia="Palatino Linotype" w:hAnsi="Palatino Linotype"/>
          <w:b/>
          <w:bCs/>
          <w:color w:val="1B2A4A"/>
          <w:sz w:val="22"/>
          <w:szCs w:val="22"/>
        </w:rPr>
        <w:t xml:space="preserve">Engage with the Article 3B draft directly.</w:t>
      </w:r>
    </w:p>
    <w:p>
      <w:pPr>
        <w:spacing w:after="80" w:before="40"/>
        <w:ind w:left="360"/>
        <w:jc w:val="both"/>
      </w:pPr>
      <w:r>
        <w:rPr>
          <w:rFonts w:ascii="Georgia" w:cs="Georgia" w:eastAsia="Georgia" w:hAnsi="Georgia"/>
          <w:color w:val="1F2937"/>
          <w:sz w:val="20"/>
          <w:szCs w:val="20"/>
        </w:rPr>
        <w:t xml:space="preserve">The draft provisions submitted to the ABA State and Local Government Procurement Law Review Committee are open for practitioner input. Vendor-side experience is underrepresented in procurement law reform. The framework benefits from people who have been inside government AI procurements: who know where specifications create unintended burdens, where compliance timelines are unrealistic, and where the framework has gaps the drafting process has not yet identified. fiduciarycommons.com is where you find the draft and where you reach the author.</w:t>
      </w:r>
    </w:p>
    <w:p>
      <w:pPr>
        <w:pBdr>
          <w:bottom w:val="single" w:color="E5E7EB" w:sz="2" w:space="1"/>
        </w:pBdr>
        <w:spacing w:after="180" w:before="18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Why Now</w:t>
      </w:r>
    </w:p>
    <w:p>
      <w:pPr>
        <w:spacing w:after="40" w:before="200"/>
      </w:pPr>
      <w:r>
        <w:rPr>
          <w:rFonts w:ascii="Palatino Linotype" w:cs="Palatino Linotype" w:eastAsia="Palatino Linotype" w:hAnsi="Palatino Linotype"/>
          <w:b/>
          <w:bCs/>
          <w:color w:val="1B2A4A"/>
          <w:sz w:val="22"/>
          <w:szCs w:val="22"/>
        </w:rPr>
        <w:t xml:space="preserve">Utah has already acted. The next wave is deciding.</w:t>
      </w:r>
    </w:p>
    <w:p>
      <w:pPr>
        <w:spacing w:after="60" w:before="60"/>
        <w:jc w:val="both"/>
      </w:pPr>
      <w:r>
        <w:rPr>
          <w:rFonts w:ascii="Georgia" w:cs="Georgia" w:eastAsia="Georgia" w:hAnsi="Georgia"/>
          <w:color w:val="1F2937"/>
          <w:sz w:val="20"/>
          <w:szCs w:val="20"/>
        </w:rPr>
        <w:t xml:space="preserve">Utah enacted SB 260 in 2025 and SB 275 in 2026, both unanimously. Those statutes are the ready-made template for the states that follow. Legislative processes in multiple states are active now. The practitioners who engage during that process shape the outcome. The practitioners who wait respond to it.</w:t>
      </w:r>
    </w:p>
    <w:p>
      <w:pPr>
        <w:spacing w:after="40" w:before="200"/>
      </w:pPr>
      <w:r>
        <w:rPr>
          <w:rFonts w:ascii="Palatino Linotype" w:cs="Palatino Linotype" w:eastAsia="Palatino Linotype" w:hAnsi="Palatino Linotype"/>
          <w:b/>
          <w:bCs/>
          <w:color w:val="1B2A4A"/>
          <w:sz w:val="22"/>
          <w:szCs w:val="22"/>
        </w:rPr>
        <w:t xml:space="preserve">The Court is moving toward the Fiduciary Commons standard.</w:t>
      </w:r>
    </w:p>
    <w:p>
      <w:pPr>
        <w:spacing w:after="60" w:before="60"/>
        <w:jc w:val="both"/>
      </w:pPr>
      <w:r>
        <w:rPr>
          <w:rFonts w:ascii="Georgia" w:cs="Georgia" w:eastAsia="Georgia" w:hAnsi="Georgia"/>
          <w:color w:val="1F2937"/>
          <w:sz w:val="20"/>
          <w:szCs w:val="20"/>
        </w:rPr>
        <w:t xml:space="preserve">Carpenter v. United States (2018) began the retreat from the Third Party Doctrine. Four sitting Justices have signaled the doctrine needs fundamental rethinking for digital-scale collection. Systems built on third-party data sharing assumptions are built on contested legal ground. Building to the Fiduciary Commons standard is building to the emerging legal standard, not merely an aspirational one.</w:t>
      </w:r>
    </w:p>
    <w:p>
      <w:pPr>
        <w:spacing w:after="40" w:before="200"/>
      </w:pPr>
      <w:r>
        <w:rPr>
          <w:rFonts w:ascii="Palatino Linotype" w:cs="Palatino Linotype" w:eastAsia="Palatino Linotype" w:hAnsi="Palatino Linotype"/>
          <w:b/>
          <w:bCs/>
          <w:color w:val="1B2A4A"/>
          <w:sz w:val="22"/>
          <w:szCs w:val="22"/>
        </w:rPr>
        <w:t xml:space="preserve">The explainability window is closing.</w:t>
      </w:r>
    </w:p>
    <w:p>
      <w:pPr>
        <w:spacing w:after="60" w:before="60"/>
        <w:jc w:val="both"/>
      </w:pPr>
      <w:r>
        <w:rPr>
          <w:rFonts w:ascii="Georgia" w:cs="Georgia" w:eastAsia="Georgia" w:hAnsi="Georgia"/>
          <w:color w:val="1F2937"/>
          <w:sz w:val="20"/>
          <w:szCs w:val="20"/>
        </w:rPr>
        <w:t xml:space="preserve">Most deployed government AI systems cannot currently meet an explainability standard. Vendors who build explainability in from the design stage are structurally positioned when GAAFA or its equivalent is enacted. Retrofitting is an order of magnitude more expensive than building in. The window for that investment is now, before the systems being built today are the legacy systems of the next procurement cycle.</w:t>
      </w:r>
    </w:p>
    <w:p>
      <w:pPr>
        <w:pBdr>
          <w:bottom w:val="single" w:color="E5E7EB" w:sz="2" w:space="1"/>
        </w:pBdr>
        <w:spacing w:after="180" w:before="18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The Framework at a Glance</w:t>
      </w:r>
    </w:p>
    <w:p>
      <w:pPr>
        <w:spacing w:after="80" w:before="80"/>
      </w:pPr>
      <w:r>
        <w:rPr>
          <w:rFonts w:ascii="Georgia" w:cs="Georgia" w:eastAsia="Georgia" w:hAnsi="Georgia"/>
          <w:b/>
          <w:bCs/>
          <w:color w:val="1B2A4A"/>
          <w:sz w:val="20"/>
          <w:szCs w:val="20"/>
        </w:rPr>
        <w:t xml:space="preserve">VIDA: </w:t>
      </w:r>
      <w:r>
        <w:rPr>
          <w:rFonts w:ascii="Georgia" w:cs="Georgia" w:eastAsia="Georgia" w:hAnsi="Georgia"/>
          <w:color w:val="1F2937"/>
          <w:sz w:val="20"/>
          <w:szCs w:val="20"/>
        </w:rPr>
        <w:t xml:space="preserve">Verified Identity Data Act. Digital identity rights: selective disclosure, prohibition on server retrieval, individual credential control, interoperability requirements.</w:t>
      </w:r>
    </w:p>
    <w:p>
      <w:pPr>
        <w:spacing w:after="80" w:before="80"/>
      </w:pPr>
      <w:r>
        <w:rPr>
          <w:rFonts w:ascii="Georgia" w:cs="Georgia" w:eastAsia="Georgia" w:hAnsi="Georgia"/>
          <w:b/>
          <w:bCs/>
          <w:color w:val="1B2A4A"/>
          <w:sz w:val="20"/>
          <w:szCs w:val="20"/>
        </w:rPr>
        <w:t xml:space="preserve">PDTA: </w:t>
      </w:r>
      <w:r>
        <w:rPr>
          <w:rFonts w:ascii="Georgia" w:cs="Georgia" w:eastAsia="Georgia" w:hAnsi="Georgia"/>
          <w:color w:val="1F2937"/>
          <w:sz w:val="20"/>
          <w:szCs w:val="20"/>
        </w:rPr>
        <w:t xml:space="preserve">Personal Data Trusteeship Act. Government data fiduciary duties: purpose limitation, data minimization, audit trail rights, individual access and correction.</w:t>
      </w:r>
    </w:p>
    <w:p>
      <w:pPr>
        <w:spacing w:after="80" w:before="80"/>
      </w:pPr>
      <w:r>
        <w:rPr>
          <w:rFonts w:ascii="Georgia" w:cs="Georgia" w:eastAsia="Georgia" w:hAnsi="Georgia"/>
          <w:b/>
          <w:bCs/>
          <w:color w:val="1B2A4A"/>
          <w:sz w:val="20"/>
          <w:szCs w:val="20"/>
        </w:rPr>
        <w:t xml:space="preserve">GAAFA: </w:t>
      </w:r>
      <w:r>
        <w:rPr>
          <w:rFonts w:ascii="Georgia" w:cs="Georgia" w:eastAsia="Georgia" w:hAnsi="Georgia"/>
          <w:color w:val="1F2937"/>
          <w:sz w:val="20"/>
          <w:szCs w:val="20"/>
        </w:rPr>
        <w:t xml:space="preserve">Government AI Accountability and Fiduciary Act. AI layer duties: algorithmic impact assessments, public registries, explainability, inference prohibition.</w:t>
      </w:r>
    </w:p>
    <w:p>
      <w:pPr>
        <w:spacing w:after="80" w:before="80"/>
      </w:pPr>
      <w:r>
        <w:rPr>
          <w:rFonts w:ascii="Georgia" w:cs="Georgia" w:eastAsia="Georgia" w:hAnsi="Georgia"/>
          <w:b/>
          <w:bCs/>
          <w:color w:val="1B2A4A"/>
          <w:sz w:val="20"/>
          <w:szCs w:val="20"/>
        </w:rPr>
        <w:t xml:space="preserve">Article 3B: </w:t>
      </w:r>
      <w:r>
        <w:rPr>
          <w:rFonts w:ascii="Georgia" w:cs="Georgia" w:eastAsia="Georgia" w:hAnsi="Georgia"/>
          <w:color w:val="1F2937"/>
          <w:sz w:val="20"/>
          <w:szCs w:val="20"/>
        </w:rPr>
        <w:t xml:space="preserve">Proposed ABA Model Procurement Code addition. Phased multi-vendor competition, outcome-based specifications, MVP-to-production bridge, fiduciary compliance built in.</w:t>
      </w:r>
    </w:p>
    <w:p>
      <w:pPr>
        <w:spacing w:after="80" w:before="80"/>
      </w:pPr>
      <w:r>
        <w:rPr>
          <w:rFonts w:ascii="Georgia" w:cs="Georgia" w:eastAsia="Georgia" w:hAnsi="Georgia"/>
          <w:b/>
          <w:bCs/>
          <w:color w:val="1B2A4A"/>
          <w:sz w:val="20"/>
          <w:szCs w:val="20"/>
        </w:rPr>
        <w:t xml:space="preserve">Utah: </w:t>
      </w:r>
      <w:r>
        <w:rPr>
          <w:rFonts w:ascii="Georgia" w:cs="Georgia" w:eastAsia="Georgia" w:hAnsi="Georgia"/>
          <w:color w:val="1F2937"/>
          <w:sz w:val="20"/>
          <w:szCs w:val="20"/>
        </w:rPr>
        <w:t xml:space="preserve">SB 260 (2025) and SB 275 (2026), both passed unanimously. First statutory codification of government data fiduciary duties in American state law.</w:t>
      </w:r>
    </w:p>
    <w:p>
      <w:pPr>
        <w:pBdr>
          <w:top w:val="single" w:color="E5E7EB" w:sz="2" w:space="4"/>
        </w:pBdr>
        <w:spacing w:after="0" w:before="300"/>
      </w:pPr>
      <w:r>
        <w:rPr>
          <w:rFonts w:ascii="Georgia" w:cs="Georgia" w:eastAsia="Georgia" w:hAnsi="Georgia"/>
          <w:i/>
          <w:iCs/>
          <w:color w:val="4B5563"/>
          <w:sz w:val="16"/>
          <w:szCs w:val="16"/>
        </w:rPr>
        <w:t xml:space="preserve">fiduciarycommons.com  |  michael@fiduciarycommons.com  |  Mike Leahy, Author, Fiduciary Commons Framework and Article 3B Draft Provisions</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2026-04-25T22:06:16.608Z</dcterms:created>
  <dcterms:modified xsi:type="dcterms:W3CDTF">2026-04-25T22:06:16.609Z</dcterms:modified>
</cp:coreProperties>
</file>

<file path=docProps/custom.xml><?xml version="1.0" encoding="utf-8"?>
<Properties xmlns="http://schemas.openxmlformats.org/officeDocument/2006/custom-properties" xmlns:vt="http://schemas.openxmlformats.org/officeDocument/2006/docPropsVTypes"/>
</file>