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FC-TL 2.2</w:t>
        <w:br/>
        <w:t>Fiduciary Commons Thesis Ledger</w:t>
      </w:r>
    </w:p>
    <w:p>
      <w:pPr>
        <w:jc w:val="center"/>
      </w:pPr>
      <w:r>
        <w:rPr>
          <w:b/>
        </w:rPr>
        <w:t>Controlling source-of-truth and safeguard document for the FC Development Narrative</w:t>
        <w:br/>
        <w:t>Status: ACTIVE CONTROL DOCUMENT | Version 2.2 | 13 September 2026</w:t>
      </w:r>
    </w:p>
    <w:p>
      <w:r>
        <w:t>Purpose. This ledger succeeds FC-TL 1.0 without rewriting it. It preserves the Fiduciary Commons theory in its strongest accurate current form after Version 2.2, IR-01, FCGIAS 2.2 consolidation, and the Version 2.2 Model Act Freeze Candidate trilogy. It controls description of FC propositions for future research, doctrinal classification, drafting, originality analysis, publication, and implementation.</w:t>
      </w:r>
    </w:p>
    <w:p>
      <w:pPr>
        <w:pStyle w:val="Heading1"/>
      </w:pPr>
      <w:r>
        <w:t>I. Controlling Operating Safeguards</w:t>
      </w:r>
    </w:p>
    <w:p>
      <w:r>
        <w:t>S-01 Source-of-Truth Rule. The documented Fiduciary Commons propositions, terminology, development history, architecture versions, legislative work, and the author's own writings control the description of what FC is. External law, scholarship, standards, and technical literature may support, challenge, classify, refine, or contextualize FC, but may not silently replace it.</w:t>
      </w:r>
    </w:p>
    <w:p>
      <w:r>
        <w:t>S-02 No-Silent-Narrowing Rule. A proposition may be classified as contested, normative, architectural, reform-oriented, or proposed constitutional development, but it may not be weakened, omitted, or demoted merely because current positive law does not fully recognize it.</w:t>
      </w:r>
    </w:p>
    <w:p>
      <w:r>
        <w:t>S-03 Four-Part Analytical Separation. Every major proposition must distinguish: (1) what FC claims; (2) what primary and secondary sources support it; (3) what counterauthority or competing theory says; and (4) the resulting doctrinal and originality classification.</w:t>
      </w:r>
    </w:p>
    <w:p>
      <w:r>
        <w:t>S-04 Mandatory Preflight. Before each substantive FC research or drafting step, identify the core propositions implicated by the task and verify that none have been omitted.</w:t>
      </w:r>
    </w:p>
    <w:p>
      <w:r>
        <w:t>S-05 Provenance-before-Novelty. No proposition may be characterized as derivative, secondary, optional, or noncentral until its lineage in the FC development record has been checked.</w:t>
      </w:r>
    </w:p>
    <w:p>
      <w:r>
        <w:t>S-06 Correction and Omission Register. Every material omission, misclassification, or conceptual drift identified during review must be recorded as a numbered correction and applied prospectively.</w:t>
      </w:r>
    </w:p>
    <w:p>
      <w:r>
        <w:t>S-07 First-Class Internal Evidence. The author's FC writings, architecture drafts, legislative drafts, articles, and development record are first-class evidence for reconstructing FC and its chronology.</w:t>
      </w:r>
    </w:p>
    <w:p>
      <w:r>
        <w:t>S-08 Functional Power Test. Architecture is evaluated according to effective informational power, not labels, physical storage topology, Vendor branding, or network diagrams.</w:t>
      </w:r>
    </w:p>
    <w:p>
      <w:r>
        <w:t>S-09 Doctrinal Candor. Current law, historical inference, normative FC thesis, architectural proposition, proposed reform, and proposed constitutional development must remain distinct.</w:t>
      </w:r>
    </w:p>
    <w:p>
      <w:r>
        <w:t>S-10 Vendor Status Rule. Government bears governmental fiduciary duties. A private Vendor does not become a fiduciary merely by contracting with government. Government cannot evade its duties or capability limits through outsourcing. Vendor capability is attributable to government for conformance where government can exercise it through ordinary arrangements, without that attribution itself establishing Vendor fiduciary status or constitutional state action.</w:t>
      </w:r>
    </w:p>
    <w:p>
      <w:r>
        <w:t>S-11 Chatrie Trigger. Any analysis of standing surveillance capability, geofence architecture, digital particularity, generalized retrospective access, or structural Fourth Amendment questions must expressly consider Chatrie together with Carpenter and Riley.</w:t>
      </w:r>
    </w:p>
    <w:p>
      <w:r>
        <w:t>S-12 Punctuation Rule. Do not use em dash characters in FC project work.</w:t>
      </w:r>
    </w:p>
    <w:p>
      <w:r>
        <w:t>S-13 Legitimacy-before-Capability Rule. Positive Legal Authority and Legitimate Informational Authority must be analyzed separately before determining conforming standing capability.</w:t>
      </w:r>
    </w:p>
    <w:p>
      <w:r>
        <w:t>S-14 Structural Least-Power Order Rule. After identifying Standing Legitimate Informational Authority, determine Necessary Standing Informational Capability before applying graduated Informational Justification to avoidable broader standing capability.</w:t>
      </w:r>
    </w:p>
    <w:p>
      <w:r>
        <w:t>S-15 Authority-as-Ceiling Rule. Never treat the outer boundary of legitimate authority as a specification for maximum standing technical capability.</w:t>
      </w:r>
    </w:p>
    <w:p>
      <w:r>
        <w:t>S-16 Conformance Non-Usurpation Rule. FCGIAS, technical standards, audits, procurement specifications, and conformance tests do not independently create governmental informational authority.</w:t>
      </w:r>
    </w:p>
    <w:p>
      <w:pPr>
        <w:pStyle w:val="Heading1"/>
      </w:pPr>
      <w:r>
        <w:t>II. Mandatory FC Preflight Checklist</w:t>
      </w:r>
    </w:p>
    <w:p>
      <w:pPr>
        <w:pStyle w:val="ListBullet"/>
      </w:pPr>
      <w:r>
        <w:t>Governmental authority as delegated and fiduciary public authority.</w:t>
      </w:r>
    </w:p>
    <w:p>
      <w:pPr>
        <w:pStyle w:val="ListBullet"/>
      </w:pPr>
      <w:r>
        <w:t>Informational authority as a species of governmental authority.</w:t>
      </w:r>
    </w:p>
    <w:p>
      <w:pPr>
        <w:pStyle w:val="ListBullet"/>
      </w:pPr>
      <w:r>
        <w:t>Facts versus records, compilations, and informational artifacts; rejection of ownership as the primary normative model.</w:t>
      </w:r>
    </w:p>
    <w:p>
      <w:pPr>
        <w:pStyle w:val="ListBullet"/>
      </w:pPr>
      <w:r>
        <w:t>Individual primacy and the Primary Information Trustee (PIT).</w:t>
      </w:r>
    </w:p>
    <w:p>
      <w:pPr>
        <w:pStyle w:val="ListBullet"/>
      </w:pPr>
      <w:r>
        <w:t>Delegation and guardianship through the Authorized Information Trustee (AIT).</w:t>
      </w:r>
    </w:p>
    <w:p>
      <w:pPr>
        <w:pStyle w:val="ListBullet"/>
      </w:pPr>
      <w:r>
        <w:t>Originating Informational Purpose and Citizen-Originated Purpose where applicable.</w:t>
      </w:r>
    </w:p>
    <w:p>
      <w:pPr>
        <w:pStyle w:val="ListBullet"/>
      </w:pPr>
      <w:r>
        <w:t>Purpose Particularity, Purpose Divergence, Informational Justification Level, and Anti-Abstraction.</w:t>
      </w:r>
    </w:p>
    <w:p>
      <w:pPr>
        <w:pStyle w:val="ListBullet"/>
      </w:pPr>
      <w:r>
        <w:t>Purpose sequestration and cross-purpose non-merger.</w:t>
      </w:r>
    </w:p>
    <w:p>
      <w:pPr>
        <w:pStyle w:val="ListBullet"/>
      </w:pPr>
      <w:r>
        <w:t>Positive Legal Authority distinguished from Legitimate Informational Authority.</w:t>
      </w:r>
    </w:p>
    <w:p>
      <w:pPr>
        <w:pStyle w:val="ListBullet"/>
      </w:pPr>
      <w:r>
        <w:t>Standing Legitimate Informational Authority as an outer ceiling.</w:t>
      </w:r>
    </w:p>
    <w:p>
      <w:pPr>
        <w:pStyle w:val="ListBullet"/>
      </w:pPr>
      <w:r>
        <w:t>Necessary Standing Informational Capability.</w:t>
      </w:r>
    </w:p>
    <w:p>
      <w:pPr>
        <w:pStyle w:val="ListBullet"/>
      </w:pPr>
      <w:r>
        <w:t>Standing Technical Informational Capability.</w:t>
      </w:r>
    </w:p>
    <w:p>
      <w:pPr>
        <w:pStyle w:val="ListBullet"/>
      </w:pPr>
      <w:r>
        <w:t>Controlling nested relation: STIC ≤ NSIC ≤ SLIA.</w:t>
      </w:r>
    </w:p>
    <w:p>
      <w:pPr>
        <w:pStyle w:val="ListBullet"/>
      </w:pPr>
      <w:r>
        <w:t>Structural Least Power before graduated Informational Justification.</w:t>
      </w:r>
    </w:p>
    <w:p>
      <w:pPr>
        <w:pStyle w:val="ListBullet"/>
      </w:pPr>
      <w:r>
        <w:t>Least Informational Power and Authorized Answer.</w:t>
      </w:r>
    </w:p>
    <w:p>
      <w:pPr>
        <w:pStyle w:val="ListBullet"/>
      </w:pPr>
      <w:r>
        <w:t>Decentralized Informational Authority and functional decentralization.</w:t>
      </w:r>
    </w:p>
    <w:p>
      <w:pPr>
        <w:pStyle w:val="ListBullet"/>
      </w:pPr>
      <w:r>
        <w:t>No Phone Home, including observability and metadata.</w:t>
      </w:r>
    </w:p>
    <w:p>
      <w:pPr>
        <w:pStyle w:val="ListBullet"/>
      </w:pPr>
      <w:r>
        <w:t>Standing capability versus capability activated only after materially renewed authority.</w:t>
      </w:r>
    </w:p>
    <w:p>
      <w:pPr>
        <w:pStyle w:val="ListBullet"/>
      </w:pPr>
      <w:r>
        <w:t>Material correlation, inference, learned artifacts, and agentic capability chains.</w:t>
      </w:r>
    </w:p>
    <w:p>
      <w:pPr>
        <w:pStyle w:val="ListBullet"/>
      </w:pPr>
      <w:r>
        <w:t>Generalized Informational Power and functional equivalence.</w:t>
      </w:r>
    </w:p>
    <w:p>
      <w:pPr>
        <w:pStyle w:val="ListBullet"/>
      </w:pPr>
      <w:r>
        <w:t>Ordered Informational Authority (OIA), Fiduciary Commons, and FCGIAS as distinct layers.</w:t>
      </w:r>
    </w:p>
    <w:p>
      <w:pPr>
        <w:pStyle w:val="ListBullet"/>
      </w:pPr>
      <w:r>
        <w:t>Authority-Capability Correspondence Principle (ACCP) and Authority-Capability Delta.</w:t>
      </w:r>
    </w:p>
    <w:p>
      <w:pPr>
        <w:pStyle w:val="ListBullet"/>
      </w:pPr>
      <w:r>
        <w:t>Federalism, jurisdictional non-aggregation, and intergovernmental capability laundering.</w:t>
      </w:r>
    </w:p>
    <w:p>
      <w:pPr>
        <w:pStyle w:val="ListBullet"/>
      </w:pPr>
      <w:r>
        <w:t>Vendor status, Vendor Non-Expansion, conformance attribution, contract, and state action kept distinct.</w:t>
      </w:r>
    </w:p>
    <w:p>
      <w:pPr>
        <w:pStyle w:val="ListBullet"/>
      </w:pPr>
      <w:r>
        <w:t>Procurement of necessary functions rather than unnecessary bundled/generalized capability.</w:t>
      </w:r>
    </w:p>
    <w:p>
      <w:pPr>
        <w:pStyle w:val="ListBullet"/>
      </w:pPr>
      <w:r>
        <w:t>AI and agents inherit the authority and legitimacy boundaries of the governmental function.</w:t>
      </w:r>
    </w:p>
    <w:p>
      <w:pPr>
        <w:pStyle w:val="ListBullet"/>
      </w:pPr>
      <w:r>
        <w:t>Conformance non-usurpation and regulatory non-bootstrap.</w:t>
      </w:r>
    </w:p>
    <w:p>
      <w:pPr>
        <w:pStyle w:val="ListBullet"/>
      </w:pPr>
      <w:r>
        <w:t>Chatrie, Carpenter, Riley, and general-warrant/particularity analysis where digital surveillance architecture is implicated.</w:t>
      </w:r>
    </w:p>
    <w:p>
      <w:pPr>
        <w:pStyle w:val="Heading1"/>
      </w:pPr>
      <w:r>
        <w:t>III. Correction and Omission Register</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t>ID</w:t>
            </w:r>
          </w:p>
        </w:tc>
        <w:tc>
          <w:tcPr>
            <w:tcW w:type="dxa" w:w="2592"/>
          </w:tcPr>
          <w:p>
            <w:r>
              <w:t>Subject</w:t>
            </w:r>
          </w:p>
        </w:tc>
        <w:tc>
          <w:tcPr>
            <w:tcW w:type="dxa" w:w="2592"/>
          </w:tcPr>
          <w:p>
            <w:r>
              <w:t>Correction</w:t>
            </w:r>
          </w:p>
        </w:tc>
        <w:tc>
          <w:tcPr>
            <w:tcW w:type="dxa" w:w="2592"/>
          </w:tcPr>
          <w:p>
            <w:r>
              <w:t>Status</w:t>
            </w:r>
          </w:p>
        </w:tc>
      </w:tr>
      <w:tr>
        <w:tc>
          <w:tcPr>
            <w:tcW w:type="dxa" w:w="2592"/>
          </w:tcPr>
          <w:p>
            <w:r>
              <w:t>AOR-C01</w:t>
            </w:r>
          </w:p>
        </w:tc>
        <w:tc>
          <w:tcPr>
            <w:tcW w:type="dxa" w:w="2592"/>
          </w:tcPr>
          <w:p>
            <w:r>
              <w:t>Governmental fiduciary foundation</w:t>
            </w:r>
          </w:p>
        </w:tc>
        <w:tc>
          <w:tcPr>
            <w:tcW w:type="dxa" w:w="2592"/>
          </w:tcPr>
          <w:p>
            <w:r>
              <w:t>P-05 elevated and subdivided. Founding-era delegated public authority and fiduciary/public-trust conceptions are affirmative foundations, while absence of a universal modern fiduciary cause of action remains a separate positive-law question.</w:t>
            </w:r>
          </w:p>
        </w:tc>
        <w:tc>
          <w:tcPr>
            <w:tcW w:type="dxa" w:w="2592"/>
          </w:tcPr>
          <w:p>
            <w:r>
              <w:t>ACTIVE</w:t>
            </w:r>
          </w:p>
        </w:tc>
      </w:tr>
      <w:tr>
        <w:tc>
          <w:tcPr>
            <w:tcW w:type="dxa" w:w="2592"/>
          </w:tcPr>
          <w:p>
            <w:r>
              <w:t>AOR-C02</w:t>
            </w:r>
          </w:p>
        </w:tc>
        <w:tc>
          <w:tcPr>
            <w:tcW w:type="dxa" w:w="2592"/>
          </w:tcPr>
          <w:p>
            <w:r>
              <w:t>Decentralization</w:t>
            </w:r>
          </w:p>
        </w:tc>
        <w:tc>
          <w:tcPr>
            <w:tcW w:type="dxa" w:w="2592"/>
          </w:tcPr>
          <w:p>
            <w:r>
              <w:t>Decentralization is a core FC architectural principle evaluated by effective informational power rather than physical topology.</w:t>
            </w:r>
          </w:p>
        </w:tc>
        <w:tc>
          <w:tcPr>
            <w:tcW w:type="dxa" w:w="2592"/>
          </w:tcPr>
          <w:p>
            <w:r>
              <w:t>ACTIVE</w:t>
            </w:r>
          </w:p>
        </w:tc>
      </w:tr>
      <w:tr>
        <w:tc>
          <w:tcPr>
            <w:tcW w:type="dxa" w:w="2592"/>
          </w:tcPr>
          <w:p>
            <w:r>
              <w:t>AOR-C03</w:t>
            </w:r>
          </w:p>
        </w:tc>
        <w:tc>
          <w:tcPr>
            <w:tcW w:type="dxa" w:w="2592"/>
          </w:tcPr>
          <w:p>
            <w:r>
              <w:t>Informational subsidiarity</w:t>
            </w:r>
          </w:p>
        </w:tc>
        <w:tc>
          <w:tcPr>
            <w:tcW w:type="dxa" w:w="2592"/>
          </w:tcPr>
          <w:p>
            <w:r>
              <w:t>Candidate principle remains open. Do not elevate terminology without deliberate adoption.</w:t>
            </w:r>
          </w:p>
        </w:tc>
        <w:tc>
          <w:tcPr>
            <w:tcW w:type="dxa" w:w="2592"/>
          </w:tcPr>
          <w:p>
            <w:r>
              <w:t>ACTIVE</w:t>
            </w:r>
          </w:p>
        </w:tc>
      </w:tr>
      <w:tr>
        <w:tc>
          <w:tcPr>
            <w:tcW w:type="dxa" w:w="2592"/>
          </w:tcPr>
          <w:p>
            <w:r>
              <w:t>AOR-C04</w:t>
            </w:r>
          </w:p>
        </w:tc>
        <w:tc>
          <w:tcPr>
            <w:tcW w:type="dxa" w:w="2592"/>
          </w:tcPr>
          <w:p>
            <w:r>
              <w:t>Chatrie integration</w:t>
            </w:r>
          </w:p>
        </w:tc>
        <w:tc>
          <w:tcPr>
            <w:tcW w:type="dxa" w:w="2592"/>
          </w:tcPr>
          <w:p>
            <w:r>
              <w:t>Chatrie is a principal contemporary doctrinal bridge for standing surveillance capability and staged digital particularity, while FC's capability thesis remains an extension beyond the Court's holding.</w:t>
            </w:r>
          </w:p>
        </w:tc>
        <w:tc>
          <w:tcPr>
            <w:tcW w:type="dxa" w:w="2592"/>
          </w:tcPr>
          <w:p>
            <w:r>
              <w:t>ACTIVE</w:t>
            </w:r>
          </w:p>
        </w:tc>
      </w:tr>
      <w:tr>
        <w:tc>
          <w:tcPr>
            <w:tcW w:type="dxa" w:w="2592"/>
          </w:tcPr>
          <w:p>
            <w:r>
              <w:t>AOR-C05</w:t>
            </w:r>
          </w:p>
        </w:tc>
        <w:tc>
          <w:tcPr>
            <w:tcW w:type="dxa" w:w="2592"/>
          </w:tcPr>
          <w:p>
            <w:r>
              <w:t>PLA / LIA separation</w:t>
            </w:r>
          </w:p>
        </w:tc>
        <w:tc>
          <w:tcPr>
            <w:tcW w:type="dxa" w:w="2592"/>
          </w:tcPr>
          <w:p>
            <w:r>
              <w:t>Positive Legal Authority is not self-validating for FC legitimacy. Version 2.2 requires separate Legitimate Informational Authority analysis.</w:t>
            </w:r>
          </w:p>
        </w:tc>
        <w:tc>
          <w:tcPr>
            <w:tcW w:type="dxa" w:w="2592"/>
          </w:tcPr>
          <w:p>
            <w:r>
              <w:t>ACTIVE</w:t>
            </w:r>
          </w:p>
        </w:tc>
      </w:tr>
      <w:tr>
        <w:tc>
          <w:tcPr>
            <w:tcW w:type="dxa" w:w="2592"/>
          </w:tcPr>
          <w:p>
            <w:r>
              <w:t>AOR-C06</w:t>
            </w:r>
          </w:p>
        </w:tc>
        <w:tc>
          <w:tcPr>
            <w:tcW w:type="dxa" w:w="2592"/>
          </w:tcPr>
          <w:p>
            <w:r>
              <w:t>Authority ceiling versus standing capability</w:t>
            </w:r>
          </w:p>
        </w:tc>
        <w:tc>
          <w:tcPr>
            <w:tcW w:type="dxa" w:w="2592"/>
          </w:tcPr>
          <w:p>
            <w:r>
              <w:t>IR-01 corrects any reading of ACCP under which conforming standing capability could simply equal the full outer boundary of legitimate authority. NSIC is the intermediate necessity layer.</w:t>
            </w:r>
          </w:p>
        </w:tc>
        <w:tc>
          <w:tcPr>
            <w:tcW w:type="dxa" w:w="2592"/>
          </w:tcPr>
          <w:p>
            <w:r>
              <w:t>ACTIVE</w:t>
            </w:r>
          </w:p>
        </w:tc>
      </w:tr>
      <w:tr>
        <w:tc>
          <w:tcPr>
            <w:tcW w:type="dxa" w:w="2592"/>
          </w:tcPr>
          <w:p>
            <w:r>
              <w:t>AOR-C07</w:t>
            </w:r>
          </w:p>
        </w:tc>
        <w:tc>
          <w:tcPr>
            <w:tcW w:type="dxa" w:w="2592"/>
          </w:tcPr>
          <w:p>
            <w:r>
              <w:t>Structural Least Power</w:t>
            </w:r>
          </w:p>
        </w:tc>
        <w:tc>
          <w:tcPr>
            <w:tcW w:type="dxa" w:w="2592"/>
          </w:tcPr>
          <w:p>
            <w:r>
              <w:t>Structural Least Power operates before graduated Informational Justification. Avoidable broader standing capability is not cured merely by the importance of the governmental objective.</w:t>
            </w:r>
          </w:p>
        </w:tc>
        <w:tc>
          <w:tcPr>
            <w:tcW w:type="dxa" w:w="2592"/>
          </w:tcPr>
          <w:p>
            <w:r>
              <w:t>ACTIVE</w:t>
            </w:r>
          </w:p>
        </w:tc>
      </w:tr>
      <w:tr>
        <w:tc>
          <w:tcPr>
            <w:tcW w:type="dxa" w:w="2592"/>
          </w:tcPr>
          <w:p>
            <w:r>
              <w:t>AOR-C08</w:t>
            </w:r>
          </w:p>
        </w:tc>
        <w:tc>
          <w:tcPr>
            <w:tcW w:type="dxa" w:w="2592"/>
          </w:tcPr>
          <w:p>
            <w:r>
              <w:t>Vendor attribution</w:t>
            </w:r>
          </w:p>
        </w:tc>
        <w:tc>
          <w:tcPr>
            <w:tcW w:type="dxa" w:w="2592"/>
          </w:tcPr>
          <w:p>
            <w:r>
              <w:t>Conformance attribution of Vendor-provided capability to government does not itself make the Vendor a governmental fiduciary or establish constitutional state action.</w:t>
            </w:r>
          </w:p>
        </w:tc>
        <w:tc>
          <w:tcPr>
            <w:tcW w:type="dxa" w:w="2592"/>
          </w:tcPr>
          <w:p>
            <w:r>
              <w:t>ACTIVE</w:t>
            </w:r>
          </w:p>
        </w:tc>
      </w:tr>
      <w:tr>
        <w:tc>
          <w:tcPr>
            <w:tcW w:type="dxa" w:w="2592"/>
          </w:tcPr>
          <w:p>
            <w:r>
              <w:t>AOR-C09</w:t>
            </w:r>
          </w:p>
        </w:tc>
        <w:tc>
          <w:tcPr>
            <w:tcW w:type="dxa" w:w="2592"/>
          </w:tcPr>
          <w:p>
            <w:r>
              <w:t>No Phone Home lineage</w:t>
            </w:r>
          </w:p>
        </w:tc>
        <w:tc>
          <w:tcPr>
            <w:tcW w:type="dxa" w:w="2592"/>
          </w:tcPr>
          <w:p>
            <w:r>
              <w:t>No Phone Home is not a late privacy add-on. It is a deep 2023-2024 antecedent and a canonical example of the mature Structural Least-Power principle.</w:t>
            </w:r>
          </w:p>
        </w:tc>
        <w:tc>
          <w:tcPr>
            <w:tcW w:type="dxa" w:w="2592"/>
          </w:tcPr>
          <w:p>
            <w:r>
              <w:t>ACTIVE</w:t>
            </w:r>
          </w:p>
        </w:tc>
      </w:tr>
    </w:tbl>
    <w:p>
      <w:pPr>
        <w:pStyle w:val="Heading1"/>
      </w:pPr>
      <w:r>
        <w:t>IV. Thesis Ledger</w:t>
      </w:r>
    </w:p>
    <w:tbl>
      <w:tblPr>
        <w:tblStyle w:val="TableGrid"/>
        <w:tblW w:type="auto" w:w="0"/>
        <w:jc w:val="center"/>
        <w:tblLook w:firstColumn="1" w:firstRow="1" w:lastColumn="0" w:lastRow="0" w:noHBand="0" w:noVBand="1" w:val="04A0"/>
      </w:tblPr>
      <w:tblGrid>
        <w:gridCol w:w="1481"/>
        <w:gridCol w:w="1481"/>
        <w:gridCol w:w="1481"/>
        <w:gridCol w:w="1481"/>
        <w:gridCol w:w="1481"/>
        <w:gridCol w:w="1481"/>
        <w:gridCol w:w="1481"/>
      </w:tblGrid>
      <w:tr>
        <w:tc>
          <w:tcPr>
            <w:tcW w:type="dxa" w:w="1481"/>
          </w:tcPr>
          <w:p>
            <w:r>
              <w:t>ID</w:t>
            </w:r>
          </w:p>
        </w:tc>
        <w:tc>
          <w:tcPr>
            <w:tcW w:type="dxa" w:w="1481"/>
          </w:tcPr>
          <w:p>
            <w:r>
              <w:t>Concept</w:t>
            </w:r>
          </w:p>
        </w:tc>
        <w:tc>
          <w:tcPr>
            <w:tcW w:type="dxa" w:w="1481"/>
          </w:tcPr>
          <w:p>
            <w:r>
              <w:t>Class</w:t>
            </w:r>
          </w:p>
        </w:tc>
        <w:tc>
          <w:tcPr>
            <w:tcW w:type="dxa" w:w="1481"/>
          </w:tcPr>
          <w:p>
            <w:r>
              <w:t>Status</w:t>
            </w:r>
          </w:p>
        </w:tc>
        <w:tc>
          <w:tcPr>
            <w:tcW w:type="dxa" w:w="1481"/>
          </w:tcPr>
          <w:p>
            <w:r>
              <w:t>Controlling Proposition</w:t>
            </w:r>
          </w:p>
        </w:tc>
        <w:tc>
          <w:tcPr>
            <w:tcW w:type="dxa" w:w="1481"/>
          </w:tcPr>
          <w:p>
            <w:r>
              <w:t>Provenance / Lineage</w:t>
            </w:r>
          </w:p>
        </w:tc>
        <w:tc>
          <w:tcPr>
            <w:tcW w:type="dxa" w:w="1481"/>
          </w:tcPr>
          <w:p>
            <w:r>
              <w:t>Mandatory Check</w:t>
            </w:r>
          </w:p>
        </w:tc>
      </w:tr>
      <w:tr>
        <w:tc>
          <w:tcPr>
            <w:tcW w:type="dxa" w:w="1481"/>
            <w:vAlign w:val="top"/>
          </w:tcPr>
          <w:p>
            <w:r>
              <w:t>P-01</w:t>
            </w:r>
          </w:p>
        </w:tc>
        <w:tc>
          <w:tcPr>
            <w:tcW w:type="dxa" w:w="1481"/>
            <w:vAlign w:val="top"/>
          </w:tcPr>
          <w:p>
            <w:r>
              <w:t>Facts and ownership</w:t>
            </w:r>
          </w:p>
        </w:tc>
        <w:tc>
          <w:tcPr>
            <w:tcW w:type="dxa" w:w="1481"/>
            <w:vAlign w:val="top"/>
          </w:tcPr>
          <w:p>
            <w:r>
              <w:t>Normative / jurisprudential</w:t>
            </w:r>
          </w:p>
        </w:tc>
        <w:tc>
          <w:tcPr>
            <w:tcW w:type="dxa" w:w="1481"/>
            <w:vAlign w:val="top"/>
          </w:tcPr>
          <w:p>
            <w:r>
              <w:t>FOUNDATIONAL</w:t>
            </w:r>
          </w:p>
        </w:tc>
        <w:tc>
          <w:tcPr>
            <w:tcW w:type="dxa" w:w="1481"/>
            <w:vAlign w:val="top"/>
          </w:tcPr>
          <w:p>
            <w:r>
              <w:t>Underlying facts concerning persons should not be governed primarily as objects of exclusive informational dominion. Distinguish facts from records, compilations, trade secrets, databases, and other informational artifacts.</w:t>
            </w:r>
          </w:p>
        </w:tc>
        <w:tc>
          <w:tcPr>
            <w:tcW w:type="dxa" w:w="1481"/>
            <w:vAlign w:val="top"/>
          </w:tcPr>
          <w:p>
            <w:r>
              <w:t>Pre-FC jurisprudential work; Feist is a narrow legal analogy, not a universal property holding.</w:t>
            </w:r>
          </w:p>
        </w:tc>
        <w:tc>
          <w:tcPr>
            <w:tcW w:type="dxa" w:w="1481"/>
            <w:vAlign w:val="top"/>
          </w:tcPr>
          <w:p>
            <w:r>
              <w:t>Check property-law counterexamples; never state that all information is legally incapable of property treatment.</w:t>
            </w:r>
          </w:p>
        </w:tc>
      </w:tr>
      <w:tr>
        <w:tc>
          <w:tcPr>
            <w:tcW w:type="dxa" w:w="1481"/>
            <w:vAlign w:val="top"/>
          </w:tcPr>
          <w:p>
            <w:r>
              <w:t>P-02</w:t>
            </w:r>
          </w:p>
        </w:tc>
        <w:tc>
          <w:tcPr>
            <w:tcW w:type="dxa" w:w="1481"/>
            <w:vAlign w:val="top"/>
          </w:tcPr>
          <w:p>
            <w:r>
              <w:t>Fiduciary Commons</w:t>
            </w:r>
          </w:p>
        </w:tc>
        <w:tc>
          <w:tcPr>
            <w:tcW w:type="dxa" w:w="1481"/>
            <w:vAlign w:val="top"/>
          </w:tcPr>
          <w:p>
            <w:r>
              <w:t>Jurisprudential</w:t>
            </w:r>
          </w:p>
        </w:tc>
        <w:tc>
          <w:tcPr>
            <w:tcW w:type="dxa" w:w="1481"/>
            <w:vAlign w:val="top"/>
          </w:tcPr>
          <w:p>
            <w:r>
              <w:t>FOUNDATIONAL</w:t>
            </w:r>
          </w:p>
        </w:tc>
        <w:tc>
          <w:tcPr>
            <w:tcW w:type="dxa" w:w="1481"/>
            <w:vAlign w:val="top"/>
          </w:tcPr>
          <w:p>
            <w:r>
              <w:t>Facts concerning persons form an unownable commons in which lawful authority is relational, entrusted, purpose-bound, and differentiated rather than proprietary dominion.</w:t>
            </w:r>
          </w:p>
        </w:tc>
        <w:tc>
          <w:tcPr>
            <w:tcW w:type="dxa" w:w="1481"/>
            <w:vAlign w:val="top"/>
          </w:tcPr>
          <w:p>
            <w:r>
              <w:t>Pre-formal FC; formalized in 2025 FC scholarship and later architecture.</w:t>
            </w:r>
          </w:p>
        </w:tc>
        <w:tc>
          <w:tcPr>
            <w:tcW w:type="dxa" w:w="1481"/>
            <w:vAlign w:val="top"/>
          </w:tcPr>
          <w:p>
            <w:r>
              <w:t>Keep commons theory distinct from public-domain doctrine and conventional data-ownership rhetoric.</w:t>
            </w:r>
          </w:p>
        </w:tc>
      </w:tr>
      <w:tr>
        <w:tc>
          <w:tcPr>
            <w:tcW w:type="dxa" w:w="1481"/>
            <w:vAlign w:val="top"/>
          </w:tcPr>
          <w:p>
            <w:r>
              <w:t>P-03</w:t>
            </w:r>
          </w:p>
        </w:tc>
        <w:tc>
          <w:tcPr>
            <w:tcW w:type="dxa" w:w="1481"/>
            <w:vAlign w:val="top"/>
          </w:tcPr>
          <w:p>
            <w:r>
              <w:t>Individual primacy / PIT</w:t>
            </w:r>
          </w:p>
        </w:tc>
        <w:tc>
          <w:tcPr>
            <w:tcW w:type="dxa" w:w="1481"/>
            <w:vAlign w:val="top"/>
          </w:tcPr>
          <w:p>
            <w:r>
              <w:t>Jurisprudential / architectural</w:t>
            </w:r>
          </w:p>
        </w:tc>
        <w:tc>
          <w:tcPr>
            <w:tcW w:type="dxa" w:w="1481"/>
            <w:vAlign w:val="top"/>
          </w:tcPr>
          <w:p>
            <w:r>
              <w:t>FOUNDATIONAL</w:t>
            </w:r>
          </w:p>
        </w:tc>
        <w:tc>
          <w:tcPr>
            <w:tcW w:type="dxa" w:w="1481"/>
            <w:vAlign w:val="top"/>
          </w:tcPr>
          <w:p>
            <w:r>
              <w:t>The person occupies the primary normative position concerning information generated by, about, or inferable about that person. The PIT is the primary locus of informational authority where the function permits.</w:t>
            </w:r>
          </w:p>
        </w:tc>
        <w:tc>
          <w:tcPr>
            <w:tcW w:type="dxa" w:w="1481"/>
            <w:vAlign w:val="top"/>
          </w:tcPr>
          <w:p>
            <w:r>
              <w:t>Antecedent individual-control work in 2023-2024 Verifiable Government; later formalized as PIT.</w:t>
            </w:r>
          </w:p>
        </w:tc>
        <w:tc>
          <w:tcPr>
            <w:tcW w:type="dxa" w:w="1481"/>
            <w:vAlign w:val="top"/>
          </w:tcPr>
          <w:p>
            <w:r>
              <w:t>Do not reduce PIT to consumer consent or account control.</w:t>
            </w:r>
          </w:p>
        </w:tc>
      </w:tr>
      <w:tr>
        <w:tc>
          <w:tcPr>
            <w:tcW w:type="dxa" w:w="1481"/>
            <w:vAlign w:val="top"/>
          </w:tcPr>
          <w:p>
            <w:r>
              <w:t>P-04</w:t>
            </w:r>
          </w:p>
        </w:tc>
        <w:tc>
          <w:tcPr>
            <w:tcW w:type="dxa" w:w="1481"/>
            <w:vAlign w:val="top"/>
          </w:tcPr>
          <w:p>
            <w:r>
              <w:t>AIT / delegated authority</w:t>
            </w:r>
          </w:p>
        </w:tc>
        <w:tc>
          <w:tcPr>
            <w:tcW w:type="dxa" w:w="1481"/>
            <w:vAlign w:val="top"/>
          </w:tcPr>
          <w:p>
            <w:r>
              <w:t>Architectural / fiduciary</w:t>
            </w:r>
          </w:p>
        </w:tc>
        <w:tc>
          <w:tcPr>
            <w:tcW w:type="dxa" w:w="1481"/>
            <w:vAlign w:val="top"/>
          </w:tcPr>
          <w:p>
            <w:r>
              <w:t>CORE</w:t>
            </w:r>
          </w:p>
        </w:tc>
        <w:tc>
          <w:tcPr>
            <w:tcW w:type="dxa" w:w="1481"/>
            <w:vAlign w:val="top"/>
          </w:tcPr>
          <w:p>
            <w:r>
              <w:t>Delegation, guardianship, and representation should be explicit, bounded, and machine-verifiable where appropriate, without creating universal third-party informational authority.</w:t>
            </w:r>
          </w:p>
        </w:tc>
        <w:tc>
          <w:tcPr>
            <w:tcW w:type="dxa" w:w="1481"/>
            <w:vAlign w:val="top"/>
          </w:tcPr>
          <w:p>
            <w:r>
              <w:t>Delegation and guardianship antecedents in Ruff/Verifiable Government work; formalized in V1.x.</w:t>
            </w:r>
          </w:p>
        </w:tc>
        <w:tc>
          <w:tcPr>
            <w:tcW w:type="dxa" w:w="1481"/>
            <w:vAlign w:val="top"/>
          </w:tcPr>
          <w:p>
            <w:r>
              <w:t>Check minors, disability, fiduciary agents, recovery, emergency authority.</w:t>
            </w:r>
          </w:p>
        </w:tc>
      </w:tr>
      <w:tr>
        <w:tc>
          <w:tcPr>
            <w:tcW w:type="dxa" w:w="1481"/>
            <w:vAlign w:val="top"/>
          </w:tcPr>
          <w:p>
            <w:r>
              <w:t>P-05A</w:t>
            </w:r>
          </w:p>
        </w:tc>
        <w:tc>
          <w:tcPr>
            <w:tcW w:type="dxa" w:w="1481"/>
            <w:vAlign w:val="top"/>
          </w:tcPr>
          <w:p>
            <w:r>
              <w:t>Founding-era fiduciary foundation</w:t>
            </w:r>
          </w:p>
        </w:tc>
        <w:tc>
          <w:tcPr>
            <w:tcW w:type="dxa" w:w="1481"/>
            <w:vAlign w:val="top"/>
          </w:tcPr>
          <w:p>
            <w:r>
              <w:t>Historical / originalist</w:t>
            </w:r>
          </w:p>
        </w:tc>
        <w:tc>
          <w:tcPr>
            <w:tcW w:type="dxa" w:w="1481"/>
            <w:vAlign w:val="top"/>
          </w:tcPr>
          <w:p>
            <w:r>
              <w:t>FOUNDATIONAL</w:t>
            </w:r>
          </w:p>
        </w:tc>
        <w:tc>
          <w:tcPr>
            <w:tcW w:type="dxa" w:w="1481"/>
            <w:vAlign w:val="top"/>
          </w:tcPr>
          <w:p>
            <w:r>
              <w:t>American governmental authority has substantial founding-era foundations in concepts of public trust, agency, delegation, faithful exercise, and authority granted for public purposes.</w:t>
            </w:r>
          </w:p>
        </w:tc>
        <w:tc>
          <w:tcPr>
            <w:tcW w:type="dxa" w:w="1481"/>
            <w:vAlign w:val="top"/>
          </w:tcPr>
          <w:p>
            <w:r>
              <w:t>Iredell, Madison, Hamilton, state declarations of rights; Natelson; Lawson and Seidman.</w:t>
            </w:r>
          </w:p>
        </w:tc>
        <w:tc>
          <w:tcPr>
            <w:tcW w:type="dxa" w:w="1481"/>
            <w:vAlign w:val="top"/>
          </w:tcPr>
          <w:p>
            <w:r>
              <w:t>Distinguish historical evidence from the stronger claim that the Constitution is technically a private-law power of attorney.</w:t>
            </w:r>
          </w:p>
        </w:tc>
      </w:tr>
      <w:tr>
        <w:tc>
          <w:tcPr>
            <w:tcW w:type="dxa" w:w="1481"/>
            <w:vAlign w:val="top"/>
          </w:tcPr>
          <w:p>
            <w:r>
              <w:t>P-05B</w:t>
            </w:r>
          </w:p>
        </w:tc>
        <w:tc>
          <w:tcPr>
            <w:tcW w:type="dxa" w:w="1481"/>
            <w:vAlign w:val="top"/>
          </w:tcPr>
          <w:p>
            <w:r>
              <w:t>Fiduciary public authority</w:t>
            </w:r>
          </w:p>
        </w:tc>
        <w:tc>
          <w:tcPr>
            <w:tcW w:type="dxa" w:w="1481"/>
            <w:vAlign w:val="top"/>
          </w:tcPr>
          <w:p>
            <w:r>
              <w:t>Normative / constitutional theory</w:t>
            </w:r>
          </w:p>
        </w:tc>
        <w:tc>
          <w:tcPr>
            <w:tcW w:type="dxa" w:w="1481"/>
            <w:vAlign w:val="top"/>
          </w:tcPr>
          <w:p>
            <w:r>
              <w:t>FOUNDATIONAL</w:t>
            </w:r>
          </w:p>
        </w:tc>
        <w:tc>
          <w:tcPr>
            <w:tcW w:type="dxa" w:w="1481"/>
            <w:vAlign w:val="top"/>
          </w:tcPr>
          <w:p>
            <w:r>
              <w:t>Fiduciary obligation is implicit in legitimate delegated public authority and is not merely an optional ethical overlay.</w:t>
            </w:r>
          </w:p>
        </w:tc>
        <w:tc>
          <w:tcPr>
            <w:tcW w:type="dxa" w:w="1481"/>
            <w:vAlign w:val="top"/>
          </w:tcPr>
          <w:p>
            <w:r>
              <w:t>Founding-era public-trust theory plus modern public-fiduciary scholarship.</w:t>
            </w:r>
          </w:p>
        </w:tc>
        <w:tc>
          <w:tcPr>
            <w:tcW w:type="dxa" w:w="1481"/>
            <w:vAlign w:val="top"/>
          </w:tcPr>
          <w:p>
            <w:r>
              <w:t>Separate this advocacy thesis from existence of a freestanding modern judicial fiduciary cause of action.</w:t>
            </w:r>
          </w:p>
        </w:tc>
      </w:tr>
      <w:tr>
        <w:tc>
          <w:tcPr>
            <w:tcW w:type="dxa" w:w="1481"/>
            <w:vAlign w:val="top"/>
          </w:tcPr>
          <w:p>
            <w:r>
              <w:t>P-05C</w:t>
            </w:r>
          </w:p>
        </w:tc>
        <w:tc>
          <w:tcPr>
            <w:tcW w:type="dxa" w:w="1481"/>
            <w:vAlign w:val="top"/>
          </w:tcPr>
          <w:p>
            <w:r>
              <w:t>Informational fiduciary authority</w:t>
            </w:r>
          </w:p>
        </w:tc>
        <w:tc>
          <w:tcPr>
            <w:tcW w:type="dxa" w:w="1481"/>
            <w:vAlign w:val="top"/>
          </w:tcPr>
          <w:p>
            <w:r>
              <w:t>FC synthesis</w:t>
            </w:r>
          </w:p>
        </w:tc>
        <w:tc>
          <w:tcPr>
            <w:tcW w:type="dxa" w:w="1481"/>
            <w:vAlign w:val="top"/>
          </w:tcPr>
          <w:p>
            <w:r>
              <w:t>FOUNDATIONAL</w:t>
            </w:r>
          </w:p>
        </w:tc>
        <w:tc>
          <w:tcPr>
            <w:tcW w:type="dxa" w:w="1481"/>
            <w:vAlign w:val="top"/>
          </w:tcPr>
          <w:p>
            <w:r>
              <w:t>Because informational authority is a species of governmental authority, the fiduciary character of legitimate public power extends to government's power to obtain, verify, know, correlate, infer, disclose, retain, and act on information.</w:t>
            </w:r>
          </w:p>
        </w:tc>
        <w:tc>
          <w:tcPr>
            <w:tcW w:type="dxa" w:w="1481"/>
            <w:vAlign w:val="top"/>
          </w:tcPr>
          <w:p>
            <w:r>
              <w:t>Bridge from P-05A/B to mature FC and OIA.</w:t>
            </w:r>
          </w:p>
        </w:tc>
        <w:tc>
          <w:tcPr>
            <w:tcW w:type="dxa" w:w="1481"/>
            <w:vAlign w:val="top"/>
          </w:tcPr>
          <w:p>
            <w:r>
              <w:t>Always identify this as the FC-specific extension.</w:t>
            </w:r>
          </w:p>
        </w:tc>
      </w:tr>
      <w:tr>
        <w:tc>
          <w:tcPr>
            <w:tcW w:type="dxa" w:w="1481"/>
            <w:vAlign w:val="top"/>
          </w:tcPr>
          <w:p>
            <w:r>
              <w:t>P-05D</w:t>
            </w:r>
          </w:p>
        </w:tc>
        <w:tc>
          <w:tcPr>
            <w:tcW w:type="dxa" w:w="1481"/>
            <w:vAlign w:val="top"/>
          </w:tcPr>
          <w:p>
            <w:r>
              <w:t>Fiduciary authority-capability principle</w:t>
            </w:r>
          </w:p>
        </w:tc>
        <w:tc>
          <w:tcPr>
            <w:tcW w:type="dxa" w:w="1481"/>
            <w:vAlign w:val="top"/>
          </w:tcPr>
          <w:p>
            <w:r>
              <w:t>FC synthesis / architecture</w:t>
            </w:r>
          </w:p>
        </w:tc>
        <w:tc>
          <w:tcPr>
            <w:tcW w:type="dxa" w:w="1481"/>
            <w:vAlign w:val="top"/>
          </w:tcPr>
          <w:p>
            <w:r>
              <w:t>TIER 1</w:t>
            </w:r>
          </w:p>
        </w:tc>
        <w:tc>
          <w:tcPr>
            <w:tcW w:type="dxa" w:w="1481"/>
            <w:vAlign w:val="top"/>
          </w:tcPr>
          <w:p>
            <w:r>
              <w:t>Government should not construct or acquire standing informational capability materially broader than its Legitimate Informational Authority. Even capability within that outer authority boundary is nonconforming when it materially exceeds Necessary Standing Informational Capability for the ordinary standing function.</w:t>
            </w:r>
          </w:p>
        </w:tc>
        <w:tc>
          <w:tcPr>
            <w:tcW w:type="dxa" w:w="1481"/>
            <w:vAlign w:val="top"/>
          </w:tcPr>
          <w:p>
            <w:r>
              <w:t>Derived from fiduciary public authority plus ACCP; refined by Version 2.2 PLA/LIA distinction and IR-01 Structural Least Power.</w:t>
            </w:r>
          </w:p>
        </w:tc>
        <w:tc>
          <w:tcPr>
            <w:tcW w:type="dxa" w:w="1481"/>
            <w:vAlign w:val="top"/>
          </w:tcPr>
          <w:p>
            <w:r>
              <w:t>Cross-check PLA, LIA, SLIA, NSIC, STIC, procurement, emergency/investigative predicates, and the distinction between authority ceiling and necessary standing capability.</w:t>
            </w:r>
          </w:p>
        </w:tc>
      </w:tr>
      <w:tr>
        <w:tc>
          <w:tcPr>
            <w:tcW w:type="dxa" w:w="1481"/>
            <w:vAlign w:val="top"/>
          </w:tcPr>
          <w:p>
            <w:r>
              <w:t>P-06</w:t>
            </w:r>
          </w:p>
        </w:tc>
        <w:tc>
          <w:tcPr>
            <w:tcW w:type="dxa" w:w="1481"/>
            <w:vAlign w:val="top"/>
          </w:tcPr>
          <w:p>
            <w:r>
              <w:t>Government as secondary informational fiduciary</w:t>
            </w:r>
          </w:p>
        </w:tc>
        <w:tc>
          <w:tcPr>
            <w:tcW w:type="dxa" w:w="1481"/>
            <w:vAlign w:val="top"/>
          </w:tcPr>
          <w:p>
            <w:r>
              <w:t>Jurisprudential / institutional</w:t>
            </w:r>
          </w:p>
        </w:tc>
        <w:tc>
          <w:tcPr>
            <w:tcW w:type="dxa" w:w="1481"/>
            <w:vAlign w:val="top"/>
          </w:tcPr>
          <w:p>
            <w:r>
              <w:t>CORE</w:t>
            </w:r>
          </w:p>
        </w:tc>
        <w:tc>
          <w:tcPr>
            <w:tcW w:type="dxa" w:w="1481"/>
            <w:vAlign w:val="top"/>
          </w:tcPr>
          <w:p>
            <w:r>
              <w:t>Government custody creates fiduciary obligations rather than ownership. Government is secondary to the person and limited by lawful purpose and delegated public authority.</w:t>
            </w:r>
          </w:p>
        </w:tc>
        <w:tc>
          <w:tcPr>
            <w:tcW w:type="dxa" w:w="1481"/>
            <w:vAlign w:val="top"/>
          </w:tcPr>
          <w:p>
            <w:r>
              <w:t>Pre-formal FC and later formal architecture.</w:t>
            </w:r>
          </w:p>
        </w:tc>
        <w:tc>
          <w:tcPr>
            <w:tcW w:type="dxa" w:w="1481"/>
            <w:vAlign w:val="top"/>
          </w:tcPr>
          <w:p>
            <w:r>
              <w:t>Do not call vendors governmental fiduciaries.</w:t>
            </w:r>
          </w:p>
        </w:tc>
      </w:tr>
      <w:tr>
        <w:tc>
          <w:tcPr>
            <w:tcW w:type="dxa" w:w="1481"/>
            <w:vAlign w:val="top"/>
          </w:tcPr>
          <w:p>
            <w:r>
              <w:t>P-07</w:t>
            </w:r>
          </w:p>
        </w:tc>
        <w:tc>
          <w:tcPr>
            <w:tcW w:type="dxa" w:w="1481"/>
            <w:vAlign w:val="top"/>
          </w:tcPr>
          <w:p>
            <w:r>
              <w:t>Purpose limitation / sequestration</w:t>
            </w:r>
          </w:p>
        </w:tc>
        <w:tc>
          <w:tcPr>
            <w:tcW w:type="dxa" w:w="1481"/>
            <w:vAlign w:val="top"/>
          </w:tcPr>
          <w:p>
            <w:r>
              <w:t>Architectural / legal</w:t>
            </w:r>
          </w:p>
        </w:tc>
        <w:tc>
          <w:tcPr>
            <w:tcW w:type="dxa" w:w="1481"/>
            <w:vAlign w:val="top"/>
          </w:tcPr>
          <w:p>
            <w:r>
              <w:t>FOUNDATIONAL</w:t>
            </w:r>
          </w:p>
        </w:tc>
        <w:tc>
          <w:tcPr>
            <w:tcW w:type="dxa" w:w="1481"/>
            <w:vAlign w:val="top"/>
          </w:tcPr>
          <w:p>
            <w:r>
              <w:t>Governmental information should be collected, retained, queried, or used for a singular or sufficiently particular lawful purpose, with purpose domains structurally separated where needed to prevent silent expansion.</w:t>
            </w:r>
          </w:p>
        </w:tc>
        <w:tc>
          <w:tcPr>
            <w:tcW w:type="dxa" w:w="1481"/>
            <w:vAlign w:val="top"/>
          </w:tcPr>
          <w:p>
            <w:r>
              <w:t>FIPPs and Ruff antecedents; purpose sequestration later formalized in FC.</w:t>
            </w:r>
          </w:p>
        </w:tc>
        <w:tc>
          <w:tcPr>
            <w:tcW w:type="dxa" w:w="1481"/>
            <w:vAlign w:val="top"/>
          </w:tcPr>
          <w:p>
            <w:r>
              <w:t>Distinguish ordinary purpose limitation from FC Purpose Particularity and architectural sequestration.</w:t>
            </w:r>
          </w:p>
        </w:tc>
      </w:tr>
      <w:tr>
        <w:tc>
          <w:tcPr>
            <w:tcW w:type="dxa" w:w="1481"/>
            <w:vAlign w:val="top"/>
          </w:tcPr>
          <w:p>
            <w:r>
              <w:t>P-08</w:t>
            </w:r>
          </w:p>
        </w:tc>
        <w:tc>
          <w:tcPr>
            <w:tcW w:type="dxa" w:w="1481"/>
            <w:vAlign w:val="top"/>
          </w:tcPr>
          <w:p>
            <w:r>
              <w:t>Informational capability is power</w:t>
            </w:r>
          </w:p>
        </w:tc>
        <w:tc>
          <w:tcPr>
            <w:tcW w:type="dxa" w:w="1481"/>
            <w:vAlign w:val="top"/>
          </w:tcPr>
          <w:p>
            <w:r>
              <w:t>Constitutional theory / architecture</w:t>
            </w:r>
          </w:p>
        </w:tc>
        <w:tc>
          <w:tcPr>
            <w:tcW w:type="dxa" w:w="1481"/>
            <w:vAlign w:val="top"/>
          </w:tcPr>
          <w:p>
            <w:r>
              <w:t>TIER 1</w:t>
            </w:r>
          </w:p>
        </w:tc>
        <w:tc>
          <w:tcPr>
            <w:tcW w:type="dxa" w:w="1481"/>
            <w:vAlign w:val="top"/>
          </w:tcPr>
          <w:p>
            <w:r>
              <w:t>Standing technical capability to obtain or construct individualized knowledge is a form of institutional governmental power and should be analyzed as such.</w:t>
            </w:r>
          </w:p>
        </w:tc>
        <w:tc>
          <w:tcPr>
            <w:tcW w:type="dxa" w:w="1481"/>
            <w:vAlign w:val="top"/>
          </w:tcPr>
          <w:p>
            <w:r>
              <w:t>Riley and Carpenter provide digital-capacity antecedents; Chatrie is a principal doctrinal bridge; FC generalizes to architecture.</w:t>
            </w:r>
          </w:p>
        </w:tc>
        <w:tc>
          <w:tcPr>
            <w:tcW w:type="dxa" w:w="1481"/>
            <w:vAlign w:val="top"/>
          </w:tcPr>
          <w:p>
            <w:r>
              <w:t>Do not claim unused capability is already a completed Fourth Amendment search under settled law.</w:t>
            </w:r>
          </w:p>
        </w:tc>
      </w:tr>
      <w:tr>
        <w:tc>
          <w:tcPr>
            <w:tcW w:type="dxa" w:w="1481"/>
            <w:vAlign w:val="top"/>
          </w:tcPr>
          <w:p>
            <w:r>
              <w:t>P-09</w:t>
            </w:r>
          </w:p>
        </w:tc>
        <w:tc>
          <w:tcPr>
            <w:tcW w:type="dxa" w:w="1481"/>
            <w:vAlign w:val="top"/>
          </w:tcPr>
          <w:p>
            <w:r>
              <w:t>Capability does not create authority</w:t>
            </w:r>
          </w:p>
        </w:tc>
        <w:tc>
          <w:tcPr>
            <w:tcW w:type="dxa" w:w="1481"/>
            <w:vAlign w:val="top"/>
          </w:tcPr>
          <w:p>
            <w:r>
              <w:t>Public law / FC bridge</w:t>
            </w:r>
          </w:p>
        </w:tc>
        <w:tc>
          <w:tcPr>
            <w:tcW w:type="dxa" w:w="1481"/>
            <w:vAlign w:val="top"/>
          </w:tcPr>
          <w:p>
            <w:r>
              <w:t>FOUNDATIONAL</w:t>
            </w:r>
          </w:p>
        </w:tc>
        <w:tc>
          <w:tcPr>
            <w:tcW w:type="dxa" w:w="1481"/>
            <w:vAlign w:val="top"/>
          </w:tcPr>
          <w:p>
            <w:r>
              <w:t>Possession of data, technical feasibility, administrative convenience, or vendor functionality does not itself confer governmental legal authority.</w:t>
            </w:r>
          </w:p>
        </w:tc>
        <w:tc>
          <w:tcPr>
            <w:tcW w:type="dxa" w:w="1481"/>
            <w:vAlign w:val="top"/>
          </w:tcPr>
          <w:p>
            <w:r>
              <w:t>Delegated-power doctrine, Iredell, Louisiana PSC, Rosenzweig.</w:t>
            </w:r>
          </w:p>
        </w:tc>
        <w:tc>
          <w:tcPr>
            <w:tcW w:type="dxa" w:w="1481"/>
            <w:vAlign w:val="top"/>
          </w:tcPr>
          <w:p>
            <w:r>
              <w:t>Distinguish implied lawful means from self-created substantive authority.</w:t>
            </w:r>
          </w:p>
        </w:tc>
      </w:tr>
      <w:tr>
        <w:tc>
          <w:tcPr>
            <w:tcW w:type="dxa" w:w="1481"/>
            <w:vAlign w:val="top"/>
          </w:tcPr>
          <w:p>
            <w:r>
              <w:t>P-10</w:t>
            </w:r>
          </w:p>
        </w:tc>
        <w:tc>
          <w:tcPr>
            <w:tcW w:type="dxa" w:w="1481"/>
            <w:vAlign w:val="top"/>
          </w:tcPr>
          <w:p>
            <w:r>
              <w:t>Ordered Informational Authority</w:t>
            </w:r>
          </w:p>
        </w:tc>
        <w:tc>
          <w:tcPr>
            <w:tcW w:type="dxa" w:w="1481"/>
            <w:vAlign w:val="top"/>
          </w:tcPr>
          <w:p>
            <w:r>
              <w:t>FC synthesis</w:t>
            </w:r>
          </w:p>
        </w:tc>
        <w:tc>
          <w:tcPr>
            <w:tcW w:type="dxa" w:w="1481"/>
            <w:vAlign w:val="top"/>
          </w:tcPr>
          <w:p>
            <w:r>
              <w:t>TIER 1</w:t>
            </w:r>
          </w:p>
        </w:tc>
        <w:tc>
          <w:tcPr>
            <w:tcW w:type="dxa" w:w="1481"/>
            <w:vAlign w:val="top"/>
          </w:tcPr>
          <w:p>
            <w:r>
              <w:t>OIA governs allocation of power to obtain, verify, know, correlate, infer, disclose, retain, and act on information according to legitimate relationships, purposes, jurisdiction, and authority.</w:t>
            </w:r>
          </w:p>
        </w:tc>
        <w:tc>
          <w:tcPr>
            <w:tcW w:type="dxa" w:w="1481"/>
            <w:vAlign w:val="top"/>
          </w:tcPr>
          <w:p>
            <w:r>
              <w:t>Mature synthesis emerging through V2.0-V2.1.</w:t>
            </w:r>
          </w:p>
        </w:tc>
        <w:tc>
          <w:tcPr>
            <w:tcW w:type="dxa" w:w="1481"/>
            <w:vAlign w:val="top"/>
          </w:tcPr>
          <w:p>
            <w:r>
              <w:t>Do not present OIA as existing doctrine; attribute antecedents while preserving synthesis claim.</w:t>
            </w:r>
          </w:p>
        </w:tc>
      </w:tr>
      <w:tr>
        <w:tc>
          <w:tcPr>
            <w:tcW w:type="dxa" w:w="1481"/>
            <w:vAlign w:val="top"/>
          </w:tcPr>
          <w:p>
            <w:r>
              <w:t>P-11</w:t>
            </w:r>
          </w:p>
        </w:tc>
        <w:tc>
          <w:tcPr>
            <w:tcW w:type="dxa" w:w="1481"/>
            <w:vAlign w:val="top"/>
          </w:tcPr>
          <w:p>
            <w:r>
              <w:t>Generalized Informational Power</w:t>
            </w:r>
          </w:p>
        </w:tc>
        <w:tc>
          <w:tcPr>
            <w:tcW w:type="dxa" w:w="1481"/>
            <w:vAlign w:val="top"/>
          </w:tcPr>
          <w:p>
            <w:r>
              <w:t>FC synthesis / constitutional theory</w:t>
            </w:r>
          </w:p>
        </w:tc>
        <w:tc>
          <w:tcPr>
            <w:tcW w:type="dxa" w:w="1481"/>
            <w:vAlign w:val="top"/>
          </w:tcPr>
          <w:p>
            <w:r>
              <w:t>TIER 1</w:t>
            </w:r>
          </w:p>
        </w:tc>
        <w:tc>
          <w:tcPr>
            <w:tcW w:type="dxa" w:w="1481"/>
            <w:vAlign w:val="top"/>
          </w:tcPr>
          <w:p>
            <w:r>
              <w:t>Many bounded informational authorities should not silently aggregate into a reusable, cross-purpose, generalized governmental power to know.</w:t>
            </w:r>
          </w:p>
        </w:tc>
        <w:tc>
          <w:tcPr>
            <w:tcW w:type="dxa" w:w="1481"/>
            <w:vAlign w:val="top"/>
          </w:tcPr>
          <w:p>
            <w:r>
              <w:t>Aggregation and mosaic antecedents; strengthened by Chatrie and FC standing-capability analysis.</w:t>
            </w:r>
          </w:p>
        </w:tc>
        <w:tc>
          <w:tcPr>
            <w:tcW w:type="dxa" w:w="1481"/>
            <w:vAlign w:val="top"/>
          </w:tcPr>
          <w:p>
            <w:r>
              <w:t>Functional, not merely database-centric. Preserve materiality threshold.</w:t>
            </w:r>
          </w:p>
        </w:tc>
      </w:tr>
      <w:tr>
        <w:tc>
          <w:tcPr>
            <w:tcW w:type="dxa" w:w="1481"/>
            <w:vAlign w:val="top"/>
          </w:tcPr>
          <w:p>
            <w:r>
              <w:t>P-12</w:t>
            </w:r>
          </w:p>
        </w:tc>
        <w:tc>
          <w:tcPr>
            <w:tcW w:type="dxa" w:w="1481"/>
            <w:vAlign w:val="top"/>
          </w:tcPr>
          <w:p>
            <w:r>
              <w:t>Functional equivalence</w:t>
            </w:r>
          </w:p>
        </w:tc>
        <w:tc>
          <w:tcPr>
            <w:tcW w:type="dxa" w:w="1481"/>
            <w:vAlign w:val="top"/>
          </w:tcPr>
          <w:p>
            <w:r>
              <w:t>Architectural</w:t>
            </w:r>
          </w:p>
        </w:tc>
        <w:tc>
          <w:tcPr>
            <w:tcW w:type="dxa" w:w="1481"/>
            <w:vAlign w:val="top"/>
          </w:tcPr>
          <w:p>
            <w:r>
              <w:t>CORE</w:t>
            </w:r>
          </w:p>
        </w:tc>
        <w:tc>
          <w:tcPr>
            <w:tcW w:type="dxa" w:w="1481"/>
            <w:vAlign w:val="top"/>
          </w:tcPr>
          <w:p>
            <w:r>
              <w:t>Conformance turns on effective informational capability. Separate databases, APIs, brokers, AI agents, federated services, or intermediaries may be functionally equivalent to a centralized data lake or golden record.</w:t>
            </w:r>
          </w:p>
        </w:tc>
        <w:tc>
          <w:tcPr>
            <w:tcW w:type="dxa" w:w="1481"/>
            <w:vAlign w:val="top"/>
          </w:tcPr>
          <w:p>
            <w:r>
              <w:t>Formalized in V1.2 onward.</w:t>
            </w:r>
          </w:p>
        </w:tc>
        <w:tc>
          <w:tcPr>
            <w:tcW w:type="dxa" w:w="1481"/>
            <w:vAlign w:val="top"/>
          </w:tcPr>
          <w:p>
            <w:r>
              <w:t>Always test ordinary standing access and actor substitution.</w:t>
            </w:r>
          </w:p>
        </w:tc>
      </w:tr>
      <w:tr>
        <w:tc>
          <w:tcPr>
            <w:tcW w:type="dxa" w:w="1481"/>
            <w:vAlign w:val="top"/>
          </w:tcPr>
          <w:p>
            <w:r>
              <w:t>P-13</w:t>
            </w:r>
          </w:p>
        </w:tc>
        <w:tc>
          <w:tcPr>
            <w:tcW w:type="dxa" w:w="1481"/>
            <w:vAlign w:val="top"/>
          </w:tcPr>
          <w:p>
            <w:r>
              <w:t>Standing vs authority-contingent capability</w:t>
            </w:r>
          </w:p>
        </w:tc>
        <w:tc>
          <w:tcPr>
            <w:tcW w:type="dxa" w:w="1481"/>
            <w:vAlign w:val="top"/>
          </w:tcPr>
          <w:p>
            <w:r>
              <w:t>Architectural / constitutional theory</w:t>
            </w:r>
          </w:p>
        </w:tc>
        <w:tc>
          <w:tcPr>
            <w:tcW w:type="dxa" w:w="1481"/>
            <w:vAlign w:val="top"/>
          </w:tcPr>
          <w:p>
            <w:r>
              <w:t>TIER 1</w:t>
            </w:r>
          </w:p>
        </w:tc>
        <w:tc>
          <w:tcPr>
            <w:tcW w:type="dxa" w:w="1481"/>
            <w:vAlign w:val="top"/>
          </w:tcPr>
          <w:p>
            <w:r>
              <w:t>Government may legitimately become capable of knowing more after a legally and substantively sufficient expansion of relationship, predicate, purpose, authority, and necessity, but materially broader capability should not exist as ordinary standing power before that transition.</w:t>
            </w:r>
          </w:p>
        </w:tc>
        <w:tc>
          <w:tcPr>
            <w:tcW w:type="dxa" w:w="1481"/>
            <w:vAlign w:val="top"/>
          </w:tcPr>
          <w:p>
            <w:r>
              <w:t>V1.x to V2.1 standing-versus-contingent capability; refined by Version 2.2 LIA and IR-01 Necessary Standing Informational Capability.</w:t>
            </w:r>
          </w:p>
        </w:tc>
        <w:tc>
          <w:tcPr>
            <w:tcW w:type="dxa" w:w="1481"/>
            <w:vAlign w:val="top"/>
          </w:tcPr>
          <w:p>
            <w:r>
              <w:t>Check emergency, warrant, investigation, national security, recovery, and administration cases; do not treat the outer boundary of legitimate authority as a standing-capability specification.</w:t>
            </w:r>
          </w:p>
        </w:tc>
      </w:tr>
      <w:tr>
        <w:tc>
          <w:tcPr>
            <w:tcW w:type="dxa" w:w="1481"/>
            <w:vAlign w:val="top"/>
          </w:tcPr>
          <w:p>
            <w:r>
              <w:t>P-14</w:t>
            </w:r>
          </w:p>
        </w:tc>
        <w:tc>
          <w:tcPr>
            <w:tcW w:type="dxa" w:w="1481"/>
            <w:vAlign w:val="top"/>
          </w:tcPr>
          <w:p>
            <w:r>
              <w:t>Materially renewed authority</w:t>
            </w:r>
          </w:p>
        </w:tc>
        <w:tc>
          <w:tcPr>
            <w:tcW w:type="dxa" w:w="1481"/>
            <w:vAlign w:val="top"/>
          </w:tcPr>
          <w:p>
            <w:r>
              <w:t>Architectural / legal</w:t>
            </w:r>
          </w:p>
        </w:tc>
        <w:tc>
          <w:tcPr>
            <w:tcW w:type="dxa" w:w="1481"/>
            <w:vAlign w:val="top"/>
          </w:tcPr>
          <w:p>
            <w:r>
              <w:t>TIER 1</w:t>
            </w:r>
          </w:p>
        </w:tc>
        <w:tc>
          <w:tcPr>
            <w:tcW w:type="dxa" w:w="1481"/>
            <w:vAlign w:val="top"/>
          </w:tcPr>
          <w:p>
            <w:r>
              <w:t>Materially broader governmental informational knowledge or capability should require Materially Renewed Authorization that is both legally sufficient and substantively sufficient for the resulting Legitimate Informational Authority and, where standing capability expands, reasonably necessary for the resulting legitimate function.</w:t>
            </w:r>
          </w:p>
        </w:tc>
        <w:tc>
          <w:tcPr>
            <w:tcW w:type="dxa" w:w="1481"/>
            <w:vAlign w:val="top"/>
          </w:tcPr>
          <w:p>
            <w:r>
              <w:t>Progressive Particularization and V1.1 onward; refined by Version 2.2 PLA/LIA and IR-01.</w:t>
            </w:r>
          </w:p>
        </w:tc>
        <w:tc>
          <w:tcPr>
            <w:tcW w:type="dxa" w:w="1481"/>
            <w:vAlign w:val="top"/>
          </w:tcPr>
          <w:p>
            <w:r>
              <w:t>Do not equate renewed authorization only with a new statute or warrant. Test legal source, substantive legitimacy, purpose divergence, necessity, duration, and consequence.</w:t>
            </w:r>
          </w:p>
        </w:tc>
      </w:tr>
      <w:tr>
        <w:tc>
          <w:tcPr>
            <w:tcW w:type="dxa" w:w="1481"/>
            <w:vAlign w:val="top"/>
          </w:tcPr>
          <w:p>
            <w:r>
              <w:t>P-15</w:t>
            </w:r>
          </w:p>
        </w:tc>
        <w:tc>
          <w:tcPr>
            <w:tcW w:type="dxa" w:w="1481"/>
            <w:vAlign w:val="top"/>
          </w:tcPr>
          <w:p>
            <w:r>
              <w:t>Correlation and inference</w:t>
            </w:r>
          </w:p>
        </w:tc>
        <w:tc>
          <w:tcPr>
            <w:tcW w:type="dxa" w:w="1481"/>
            <w:vAlign w:val="top"/>
          </w:tcPr>
          <w:p>
            <w:r>
              <w:t>Architectural / AI governance</w:t>
            </w:r>
          </w:p>
        </w:tc>
        <w:tc>
          <w:tcPr>
            <w:tcW w:type="dxa" w:w="1481"/>
            <w:vAlign w:val="top"/>
          </w:tcPr>
          <w:p>
            <w:r>
              <w:t>TIER 1</w:t>
            </w:r>
          </w:p>
        </w:tc>
        <w:tc>
          <w:tcPr>
            <w:tcW w:type="dxa" w:w="1481"/>
            <w:vAlign w:val="top"/>
          </w:tcPr>
          <w:p>
            <w:r>
              <w:t>Material computational correlation or inference that creates materially broader individualized governmental knowledge or consequence can be authority-bearing even when source records were lawfully possessed.</w:t>
            </w:r>
          </w:p>
        </w:tc>
        <w:tc>
          <w:tcPr>
            <w:tcW w:type="dxa" w:w="1481"/>
            <w:vAlign w:val="top"/>
          </w:tcPr>
          <w:p>
            <w:r>
              <w:t>Aggregation scholarship, digital comprehensiveness, V1.x onward.</w:t>
            </w:r>
          </w:p>
        </w:tc>
        <w:tc>
          <w:tcPr>
            <w:tcW w:type="dxa" w:w="1481"/>
            <w:vAlign w:val="top"/>
          </w:tcPr>
          <w:p>
            <w:r>
              <w:t>Do not regulate ordinary human reasoning; preserve materiality and function.</w:t>
            </w:r>
          </w:p>
        </w:tc>
      </w:tr>
      <w:tr>
        <w:tc>
          <w:tcPr>
            <w:tcW w:type="dxa" w:w="1481"/>
            <w:vAlign w:val="top"/>
          </w:tcPr>
          <w:p>
            <w:r>
              <w:t>P-16</w:t>
            </w:r>
          </w:p>
        </w:tc>
        <w:tc>
          <w:tcPr>
            <w:tcW w:type="dxa" w:w="1481"/>
            <w:vAlign w:val="top"/>
          </w:tcPr>
          <w:p>
            <w:r>
              <w:t>Purpose Particularity</w:t>
            </w:r>
          </w:p>
        </w:tc>
        <w:tc>
          <w:tcPr>
            <w:tcW w:type="dxa" w:w="1481"/>
            <w:vAlign w:val="top"/>
          </w:tcPr>
          <w:p>
            <w:r>
              <w:t>Architectural / legal</w:t>
            </w:r>
          </w:p>
        </w:tc>
        <w:tc>
          <w:tcPr>
            <w:tcW w:type="dxa" w:w="1481"/>
            <w:vAlign w:val="top"/>
          </w:tcPr>
          <w:p>
            <w:r>
              <w:t>CORE</w:t>
            </w:r>
          </w:p>
        </w:tc>
        <w:tc>
          <w:tcPr>
            <w:tcW w:type="dxa" w:w="1481"/>
            <w:vAlign w:val="top"/>
          </w:tcPr>
          <w:p>
            <w:r>
              <w:t>A governmental purpose must be stated with sufficient specificity to constrain informational capability. Broad abstractions such as fraud prevention, public safety, program integrity, analytics, or citizen services cannot by themselves justify materially broader informational power.</w:t>
            </w:r>
          </w:p>
        </w:tc>
        <w:tc>
          <w:tcPr>
            <w:tcW w:type="dxa" w:w="1481"/>
            <w:vAlign w:val="top"/>
          </w:tcPr>
          <w:p>
            <w:r>
              <w:t>Purpose limitation antecedents; FC refinement in V1.5-V2.1; Version 2.2 Anti-Abstraction and Purpose-Divergence doctrine.</w:t>
            </w:r>
          </w:p>
        </w:tc>
        <w:tc>
          <w:tcPr>
            <w:tcW w:type="dxa" w:w="1481"/>
            <w:vAlign w:val="top"/>
          </w:tcPr>
          <w:p>
            <w:r>
              <w:t>Pair with Question Particularity, Citizen-Originated Purpose, IJ Level, Anti-Abstraction, and general-warrant analysis.</w:t>
            </w:r>
          </w:p>
        </w:tc>
      </w:tr>
      <w:tr>
        <w:tc>
          <w:tcPr>
            <w:tcW w:type="dxa" w:w="1481"/>
            <w:vAlign w:val="top"/>
          </w:tcPr>
          <w:p>
            <w:r>
              <w:t>P-17</w:t>
            </w:r>
          </w:p>
        </w:tc>
        <w:tc>
          <w:tcPr>
            <w:tcW w:type="dxa" w:w="1481"/>
            <w:vAlign w:val="top"/>
          </w:tcPr>
          <w:p>
            <w:r>
              <w:t>Question Particularity</w:t>
            </w:r>
          </w:p>
        </w:tc>
        <w:tc>
          <w:tcPr>
            <w:tcW w:type="dxa" w:w="1481"/>
            <w:vAlign w:val="top"/>
          </w:tcPr>
          <w:p>
            <w:r>
              <w:t>Architectural / legal</w:t>
            </w:r>
          </w:p>
        </w:tc>
        <w:tc>
          <w:tcPr>
            <w:tcW w:type="dxa" w:w="1481"/>
            <w:vAlign w:val="top"/>
          </w:tcPr>
          <w:p>
            <w:r>
              <w:t>CORE</w:t>
            </w:r>
          </w:p>
        </w:tc>
        <w:tc>
          <w:tcPr>
            <w:tcW w:type="dxa" w:w="1481"/>
            <w:vAlign w:val="top"/>
          </w:tcPr>
          <w:p>
            <w:r>
              <w:t>Even within a lawful purpose, the government should be able to identify the particular informational question it is authorized to ask.</w:t>
            </w:r>
          </w:p>
        </w:tc>
        <w:tc>
          <w:tcPr>
            <w:tcW w:type="dxa" w:w="1481"/>
            <w:vAlign w:val="top"/>
          </w:tcPr>
          <w:p>
            <w:r>
              <w:t>Progressive Particularization and Authorized Answer line.</w:t>
            </w:r>
          </w:p>
        </w:tc>
        <w:tc>
          <w:tcPr>
            <w:tcW w:type="dxa" w:w="1481"/>
            <w:vAlign w:val="top"/>
          </w:tcPr>
          <w:p>
            <w:r>
              <w:t>Use Chatrie staged process where relevant.</w:t>
            </w:r>
          </w:p>
        </w:tc>
      </w:tr>
      <w:tr>
        <w:tc>
          <w:tcPr>
            <w:tcW w:type="dxa" w:w="1481"/>
            <w:vAlign w:val="top"/>
          </w:tcPr>
          <w:p>
            <w:r>
              <w:t>P-18</w:t>
            </w:r>
          </w:p>
        </w:tc>
        <w:tc>
          <w:tcPr>
            <w:tcW w:type="dxa" w:w="1481"/>
            <w:vAlign w:val="top"/>
          </w:tcPr>
          <w:p>
            <w:r>
              <w:t>Least Informational Power</w:t>
            </w:r>
          </w:p>
        </w:tc>
        <w:tc>
          <w:tcPr>
            <w:tcW w:type="dxa" w:w="1481"/>
            <w:vAlign w:val="top"/>
          </w:tcPr>
          <w:p>
            <w:r>
              <w:t>FC synthesis / architecture</w:t>
            </w:r>
          </w:p>
        </w:tc>
        <w:tc>
          <w:tcPr>
            <w:tcW w:type="dxa" w:w="1481"/>
            <w:vAlign w:val="top"/>
          </w:tcPr>
          <w:p>
            <w:r>
              <w:t>TIER 1</w:t>
            </w:r>
          </w:p>
        </w:tc>
        <w:tc>
          <w:tcPr>
            <w:tcW w:type="dxa" w:w="1481"/>
            <w:vAlign w:val="top"/>
          </w:tcPr>
          <w:p>
            <w:r>
              <w:t>Minimization should be measured not only by data volume but by the amount of governmental power to know that the architecture creates.</w:t>
            </w:r>
          </w:p>
        </w:tc>
        <w:tc>
          <w:tcPr>
            <w:tcW w:type="dxa" w:w="1481"/>
            <w:vAlign w:val="top"/>
          </w:tcPr>
          <w:p>
            <w:r>
              <w:t>Extends FIPPs, data minimization, least privilege, selective disclosure.</w:t>
            </w:r>
          </w:p>
        </w:tc>
        <w:tc>
          <w:tcPr>
            <w:tcW w:type="dxa" w:w="1481"/>
            <w:vAlign w:val="top"/>
          </w:tcPr>
          <w:p>
            <w:r>
              <w:t>Do not collapse into ordinary data minimization.</w:t>
            </w:r>
          </w:p>
        </w:tc>
      </w:tr>
      <w:tr>
        <w:tc>
          <w:tcPr>
            <w:tcW w:type="dxa" w:w="1481"/>
            <w:vAlign w:val="top"/>
          </w:tcPr>
          <w:p>
            <w:r>
              <w:t>P-19</w:t>
            </w:r>
          </w:p>
        </w:tc>
        <w:tc>
          <w:tcPr>
            <w:tcW w:type="dxa" w:w="1481"/>
            <w:vAlign w:val="top"/>
          </w:tcPr>
          <w:p>
            <w:r>
              <w:t>Authorized Answer</w:t>
            </w:r>
          </w:p>
        </w:tc>
        <w:tc>
          <w:tcPr>
            <w:tcW w:type="dxa" w:w="1481"/>
            <w:vAlign w:val="top"/>
          </w:tcPr>
          <w:p>
            <w:r>
              <w:t>FC synthesis / architecture</w:t>
            </w:r>
          </w:p>
        </w:tc>
        <w:tc>
          <w:tcPr>
            <w:tcW w:type="dxa" w:w="1481"/>
            <w:vAlign w:val="top"/>
          </w:tcPr>
          <w:p>
            <w:r>
              <w:t>TIER 1</w:t>
            </w:r>
          </w:p>
        </w:tc>
        <w:tc>
          <w:tcPr>
            <w:tcW w:type="dxa" w:w="1481"/>
            <w:vAlign w:val="top"/>
          </w:tcPr>
          <w:p>
            <w:r>
              <w:t>Where a lawful governmental function requires an answer rather than an underlying record, architecture should prefer obtaining the authorized answer without acquiring unnecessary evidentiary substrate.</w:t>
            </w:r>
          </w:p>
        </w:tc>
        <w:tc>
          <w:tcPr>
            <w:tcW w:type="dxa" w:w="1481"/>
            <w:vAlign w:val="top"/>
          </w:tcPr>
          <w:p>
            <w:r>
              <w:t>Ruff query/yes-no antecedents; NIST derived attributes; formalized in FC.</w:t>
            </w:r>
          </w:p>
        </w:tc>
        <w:tc>
          <w:tcPr>
            <w:tcW w:type="dxa" w:w="1481"/>
            <w:vAlign w:val="top"/>
          </w:tcPr>
          <w:p>
            <w:r>
              <w:t>Not an absolute ban on source records where audit, evidence, appeal, or law requires them.</w:t>
            </w:r>
          </w:p>
        </w:tc>
      </w:tr>
      <w:tr>
        <w:tc>
          <w:tcPr>
            <w:tcW w:type="dxa" w:w="1481"/>
            <w:vAlign w:val="top"/>
          </w:tcPr>
          <w:p>
            <w:r>
              <w:t>P-20</w:t>
            </w:r>
          </w:p>
        </w:tc>
        <w:tc>
          <w:tcPr>
            <w:tcW w:type="dxa" w:w="1481"/>
            <w:vAlign w:val="top"/>
          </w:tcPr>
          <w:p>
            <w:r>
              <w:t>No Phone Home</w:t>
            </w:r>
          </w:p>
        </w:tc>
        <w:tc>
          <w:tcPr>
            <w:tcW w:type="dxa" w:w="1481"/>
            <w:vAlign w:val="top"/>
          </w:tcPr>
          <w:p>
            <w:r>
              <w:t>Architectural / autonomy</w:t>
            </w:r>
          </w:p>
        </w:tc>
        <w:tc>
          <w:tcPr>
            <w:tcW w:type="dxa" w:w="1481"/>
            <w:vAlign w:val="top"/>
          </w:tcPr>
          <w:p>
            <w:r>
              <w:t>FOUNDATIONAL</w:t>
            </w:r>
          </w:p>
        </w:tc>
        <w:tc>
          <w:tcPr>
            <w:tcW w:type="dxa" w:w="1481"/>
            <w:vAlign w:val="top"/>
          </w:tcPr>
          <w:p>
            <w:r>
              <w:t>Verification should not unnecessarily permit an issuer, identity provider, or central authority to observe each downstream credential presentation or transaction.</w:t>
            </w:r>
          </w:p>
        </w:tc>
        <w:tc>
          <w:tcPr>
            <w:tcW w:type="dxa" w:w="1481"/>
            <w:vAlign w:val="top"/>
          </w:tcPr>
          <w:p>
            <w:r>
              <w:t>Antecedent in 2023-2024 Ruff work; mDL critique; later formalized.</w:t>
            </w:r>
          </w:p>
        </w:tc>
        <w:tc>
          <w:tcPr>
            <w:tcW w:type="dxa" w:w="1481"/>
            <w:vAlign w:val="top"/>
          </w:tcPr>
          <w:p>
            <w:r>
              <w:t>Evaluate observability, metadata, timing, verifier identity, and location, not merely disclosed attributes.</w:t>
            </w:r>
          </w:p>
        </w:tc>
      </w:tr>
      <w:tr>
        <w:tc>
          <w:tcPr>
            <w:tcW w:type="dxa" w:w="1481"/>
            <w:vAlign w:val="top"/>
          </w:tcPr>
          <w:p>
            <w:r>
              <w:t>P-21</w:t>
            </w:r>
          </w:p>
        </w:tc>
        <w:tc>
          <w:tcPr>
            <w:tcW w:type="dxa" w:w="1481"/>
            <w:vAlign w:val="top"/>
          </w:tcPr>
          <w:p>
            <w:r>
              <w:t>Decentralized Informational Authority</w:t>
            </w:r>
          </w:p>
        </w:tc>
        <w:tc>
          <w:tcPr>
            <w:tcW w:type="dxa" w:w="1481"/>
            <w:vAlign w:val="top"/>
          </w:tcPr>
          <w:p>
            <w:r>
              <w:t>Architectural / jurisprudential</w:t>
            </w:r>
          </w:p>
        </w:tc>
        <w:tc>
          <w:tcPr>
            <w:tcW w:type="dxa" w:w="1481"/>
            <w:vAlign w:val="top"/>
          </w:tcPr>
          <w:p>
            <w:r>
              <w:t>FOUNDATIONAL</w:t>
            </w:r>
          </w:p>
        </w:tc>
        <w:tc>
          <w:tcPr>
            <w:tcW w:type="dxa" w:w="1481"/>
            <w:vAlign w:val="top"/>
          </w:tcPr>
          <w:p>
            <w:r>
              <w:t>FC affirmatively favors decentralized informational architecture because legitimate informational authority is distributed among persons, purposes, programs, institutions, and jurisdictions.</w:t>
            </w:r>
          </w:p>
        </w:tc>
        <w:tc>
          <w:tcPr>
            <w:tcW w:type="dxa" w:w="1481"/>
            <w:vAlign w:val="top"/>
          </w:tcPr>
          <w:p>
            <w:r>
              <w:t>Deep antecedents in Verifiable Government, SSI/DID, NPH, PIT; strengthened by fiduciary and divided-authority theory.</w:t>
            </w:r>
          </w:p>
        </w:tc>
        <w:tc>
          <w:tcPr>
            <w:tcW w:type="dxa" w:w="1481"/>
            <w:vAlign w:val="top"/>
          </w:tcPr>
          <w:p>
            <w:r>
              <w:t>Do not reduce to named protocols or physical distribution.</w:t>
            </w:r>
          </w:p>
        </w:tc>
      </w:tr>
      <w:tr>
        <w:tc>
          <w:tcPr>
            <w:tcW w:type="dxa" w:w="1481"/>
            <w:vAlign w:val="top"/>
          </w:tcPr>
          <w:p>
            <w:r>
              <w:t>P-22</w:t>
            </w:r>
          </w:p>
        </w:tc>
        <w:tc>
          <w:tcPr>
            <w:tcW w:type="dxa" w:w="1481"/>
            <w:vAlign w:val="top"/>
          </w:tcPr>
          <w:p>
            <w:r>
              <w:t>Functional decentralization</w:t>
            </w:r>
          </w:p>
        </w:tc>
        <w:tc>
          <w:tcPr>
            <w:tcW w:type="dxa" w:w="1481"/>
            <w:vAlign w:val="top"/>
          </w:tcPr>
          <w:p>
            <w:r>
              <w:t>Architectural</w:t>
            </w:r>
          </w:p>
        </w:tc>
        <w:tc>
          <w:tcPr>
            <w:tcW w:type="dxa" w:w="1481"/>
            <w:vAlign w:val="top"/>
          </w:tcPr>
          <w:p>
            <w:r>
              <w:t>TIER 1</w:t>
            </w:r>
          </w:p>
        </w:tc>
        <w:tc>
          <w:tcPr>
            <w:tcW w:type="dxa" w:w="1481"/>
            <w:vAlign w:val="top"/>
          </w:tcPr>
          <w:p>
            <w:r>
              <w:t>Decentralization must be evaluated by effective informational power rather than by network diagram. A physically distributed system that provides standing centralized query, correlation, inference, observation, or retrieval power is functionally centralized for FC purposes.</w:t>
            </w:r>
          </w:p>
        </w:tc>
        <w:tc>
          <w:tcPr>
            <w:tcW w:type="dxa" w:w="1481"/>
            <w:vAlign w:val="top"/>
          </w:tcPr>
          <w:p>
            <w:r>
              <w:t>Mature correction AOR-C02; consistent with Functional Equivalence and V2.0-V2.1 adversarial testing.</w:t>
            </w:r>
          </w:p>
        </w:tc>
        <w:tc>
          <w:tcPr>
            <w:tcW w:type="dxa" w:w="1481"/>
            <w:vAlign w:val="top"/>
          </w:tcPr>
          <w:p>
            <w:r>
              <w:t>Always inspect APIs, identity resolution, AI, brokers, shared identifiers, and metadata.</w:t>
            </w:r>
          </w:p>
        </w:tc>
      </w:tr>
      <w:tr>
        <w:tc>
          <w:tcPr>
            <w:tcW w:type="dxa" w:w="1481"/>
            <w:vAlign w:val="top"/>
          </w:tcPr>
          <w:p>
            <w:r>
              <w:t>P-23</w:t>
            </w:r>
          </w:p>
        </w:tc>
        <w:tc>
          <w:tcPr>
            <w:tcW w:type="dxa" w:w="1481"/>
            <w:vAlign w:val="top"/>
          </w:tcPr>
          <w:p>
            <w:r>
              <w:t>Informational subsidiarity / localized authority</w:t>
            </w:r>
          </w:p>
        </w:tc>
        <w:tc>
          <w:tcPr>
            <w:tcW w:type="dxa" w:w="1481"/>
            <w:vAlign w:val="top"/>
          </w:tcPr>
          <w:p>
            <w:r>
              <w:t>Candidate jurisprudential / architectural</w:t>
            </w:r>
          </w:p>
        </w:tc>
        <w:tc>
          <w:tcPr>
            <w:tcW w:type="dxa" w:w="1481"/>
            <w:vAlign w:val="top"/>
          </w:tcPr>
          <w:p>
            <w:r>
              <w:t>OPEN</w:t>
            </w:r>
          </w:p>
        </w:tc>
        <w:tc>
          <w:tcPr>
            <w:tcW w:type="dxa" w:w="1481"/>
            <w:vAlign w:val="top"/>
          </w:tcPr>
          <w:p>
            <w:r>
              <w:t>Informational authority and capability should ordinarily remain with the person, program, institution, or jurisdiction closest to the legitimate function, unless broader allocation is independently justified.</w:t>
            </w:r>
          </w:p>
        </w:tc>
        <w:tc>
          <w:tcPr>
            <w:tcW w:type="dxa" w:w="1481"/>
            <w:vAlign w:val="top"/>
          </w:tcPr>
          <w:p>
            <w:r>
              <w:t>Implicit throughout FC; formally identified during 2026 authority review.</w:t>
            </w:r>
          </w:p>
        </w:tc>
        <w:tc>
          <w:tcPr>
            <w:tcW w:type="dxa" w:w="1481"/>
            <w:vAlign w:val="top"/>
          </w:tcPr>
          <w:p>
            <w:r>
              <w:t>Terminology remains open. Test against subsidiarity literature and federalism.</w:t>
            </w:r>
          </w:p>
        </w:tc>
      </w:tr>
      <w:tr>
        <w:tc>
          <w:tcPr>
            <w:tcW w:type="dxa" w:w="1481"/>
            <w:vAlign w:val="top"/>
          </w:tcPr>
          <w:p>
            <w:r>
              <w:t>P-24</w:t>
            </w:r>
          </w:p>
        </w:tc>
        <w:tc>
          <w:tcPr>
            <w:tcW w:type="dxa" w:w="1481"/>
            <w:vAlign w:val="top"/>
          </w:tcPr>
          <w:p>
            <w:r>
              <w:t>Structural Preference</w:t>
            </w:r>
          </w:p>
        </w:tc>
        <w:tc>
          <w:tcPr>
            <w:tcW w:type="dxa" w:w="1481"/>
            <w:vAlign w:val="top"/>
          </w:tcPr>
          <w:p>
            <w:r>
              <w:t>Architectural / reform</w:t>
            </w:r>
          </w:p>
        </w:tc>
        <w:tc>
          <w:tcPr>
            <w:tcW w:type="dxa" w:w="1481"/>
            <w:vAlign w:val="top"/>
          </w:tcPr>
          <w:p>
            <w:r>
              <w:t>CORE</w:t>
            </w:r>
          </w:p>
        </w:tc>
        <w:tc>
          <w:tcPr>
            <w:tcW w:type="dxa" w:w="1481"/>
            <w:vAlign w:val="top"/>
          </w:tcPr>
          <w:p>
            <w:r>
              <w:t>Where a materially less informationally powerful architecture can reasonably perform the same legitimate standing function with required utility, reliability, security, accessibility, legal effectiveness, and continuity, government should remove, narrow, transactionalize, predicate, segregate, or disable the broader ordinary standing capability rather than rely principally on policy, training, audit, or promises of lawful use.</w:t>
            </w:r>
          </w:p>
        </w:tc>
        <w:tc>
          <w:tcPr>
            <w:tcW w:type="dxa" w:w="1481"/>
            <w:vAlign w:val="top"/>
          </w:tcPr>
          <w:p>
            <w:r>
              <w:t>Privacy by Design and least privilege antecedents; FC structural preference; sharpened by IR-01 Structural Least Power and SD-13.</w:t>
            </w:r>
          </w:p>
        </w:tc>
        <w:tc>
          <w:tcPr>
            <w:tcW w:type="dxa" w:w="1481"/>
            <w:vAlign w:val="top"/>
          </w:tcPr>
          <w:p>
            <w:r>
              <w:t>Apply before graduated Informational Justification. Structural controls are preferred where the broader capability is avoidable; monitoring/audit addresses residual capability rather than curing avoidable excess.</w:t>
            </w:r>
          </w:p>
        </w:tc>
      </w:tr>
      <w:tr>
        <w:tc>
          <w:tcPr>
            <w:tcW w:type="dxa" w:w="1481"/>
            <w:vAlign w:val="top"/>
          </w:tcPr>
          <w:p>
            <w:r>
              <w:t>P-25</w:t>
            </w:r>
          </w:p>
        </w:tc>
        <w:tc>
          <w:tcPr>
            <w:tcW w:type="dxa" w:w="1481"/>
            <w:vAlign w:val="top"/>
          </w:tcPr>
          <w:p>
            <w:r>
              <w:t>ACCP</w:t>
            </w:r>
          </w:p>
        </w:tc>
        <w:tc>
          <w:tcPr>
            <w:tcW w:type="dxa" w:w="1481"/>
            <w:vAlign w:val="top"/>
          </w:tcPr>
          <w:p>
            <w:r>
              <w:t>FC synthesis / architecture</w:t>
            </w:r>
          </w:p>
        </w:tc>
        <w:tc>
          <w:tcPr>
            <w:tcW w:type="dxa" w:w="1481"/>
            <w:vAlign w:val="top"/>
          </w:tcPr>
          <w:p>
            <w:r>
              <w:t>TIER 1</w:t>
            </w:r>
          </w:p>
        </w:tc>
        <w:tc>
          <w:tcPr>
            <w:tcW w:type="dxa" w:w="1481"/>
            <w:vAlign w:val="top"/>
          </w:tcPr>
          <w:p>
            <w:r>
              <w:t>A conforming governmental information architecture should cause Standing Technical Informational Capability to correspond to, and not materially exceed, Necessary Standing Informational Capability, which in turn must remain within Standing Legitimate Informational Authority. Materially broader capability may become available only after the governmental relationship, predicate, purpose, authority, and necessity have expanded sufficiently to justify it.</w:t>
            </w:r>
          </w:p>
        </w:tc>
        <w:tc>
          <w:tcPr>
            <w:tcW w:type="dxa" w:w="1481"/>
            <w:vAlign w:val="top"/>
          </w:tcPr>
          <w:p>
            <w:r>
              <w:t>ACCP formalized in V1.x and V2.1; Version 2.2 distinguished PLA from LIA; IR-01 added the NSIC intermediate layer and revised ACCP.</w:t>
            </w:r>
          </w:p>
        </w:tc>
        <w:tc>
          <w:tcPr>
            <w:tcW w:type="dxa" w:w="1481"/>
            <w:vAlign w:val="top"/>
          </w:tcPr>
          <w:p>
            <w:r>
              <w:t>Use the nested relation STIC ≤ NSIC ≤ SLIA as the controlling shorthand, while recognizing that '≤' expresses a normative containment relation rather than mathematical measurement.</w:t>
            </w:r>
          </w:p>
        </w:tc>
      </w:tr>
      <w:tr>
        <w:tc>
          <w:tcPr>
            <w:tcW w:type="dxa" w:w="1481"/>
            <w:vAlign w:val="top"/>
          </w:tcPr>
          <w:p>
            <w:r>
              <w:t>P-26</w:t>
            </w:r>
          </w:p>
        </w:tc>
        <w:tc>
          <w:tcPr>
            <w:tcW w:type="dxa" w:w="1481"/>
            <w:vAlign w:val="top"/>
          </w:tcPr>
          <w:p>
            <w:r>
              <w:t>Government Population Golden Record</w:t>
            </w:r>
          </w:p>
        </w:tc>
        <w:tc>
          <w:tcPr>
            <w:tcW w:type="dxa" w:w="1481"/>
            <w:vAlign w:val="top"/>
          </w:tcPr>
          <w:p>
            <w:r>
              <w:t>Architectural / constitutional theory</w:t>
            </w:r>
          </w:p>
        </w:tc>
        <w:tc>
          <w:tcPr>
            <w:tcW w:type="dxa" w:w="1481"/>
            <w:vAlign w:val="top"/>
          </w:tcPr>
          <w:p>
            <w:r>
              <w:t>CORE</w:t>
            </w:r>
          </w:p>
        </w:tc>
        <w:tc>
          <w:tcPr>
            <w:tcW w:type="dxa" w:w="1481"/>
            <w:vAlign w:val="top"/>
          </w:tcPr>
          <w:p>
            <w:r>
              <w:t>A standing capability to construct a materially comprehensive, longitudinal, cross-purpose profile of the population is presumptively incompatible with OIA absent extraordinary and sufficiently particular authority.</w:t>
            </w:r>
          </w:p>
        </w:tc>
        <w:tc>
          <w:tcPr>
            <w:tcW w:type="dxa" w:w="1481"/>
            <w:vAlign w:val="top"/>
          </w:tcPr>
          <w:p>
            <w:r>
              <w:t>Golden-record red-team tests from V1.2 onward; Chatrie supports concern about comprehensive retrospective capability.</w:t>
            </w:r>
          </w:p>
        </w:tc>
        <w:tc>
          <w:tcPr>
            <w:tcW w:type="dxa" w:w="1481"/>
            <w:vAlign w:val="top"/>
          </w:tcPr>
          <w:p>
            <w:r>
              <w:t>Do not state categorical present Fourth Amendment invalidity unless expressly framed as D4.</w:t>
            </w:r>
          </w:p>
        </w:tc>
      </w:tr>
      <w:tr>
        <w:tc>
          <w:tcPr>
            <w:tcW w:type="dxa" w:w="1481"/>
            <w:vAlign w:val="top"/>
          </w:tcPr>
          <w:p>
            <w:r>
              <w:t>P-27</w:t>
            </w:r>
          </w:p>
        </w:tc>
        <w:tc>
          <w:tcPr>
            <w:tcW w:type="dxa" w:w="1481"/>
            <w:vAlign w:val="top"/>
          </w:tcPr>
          <w:p>
            <w:r>
              <w:t>Federalism / jurisdictional non-aggregation</w:t>
            </w:r>
          </w:p>
        </w:tc>
        <w:tc>
          <w:tcPr>
            <w:tcW w:type="dxa" w:w="1481"/>
            <w:vAlign w:val="top"/>
          </w:tcPr>
          <w:p>
            <w:r>
              <w:t>Constitutional theory / architecture</w:t>
            </w:r>
          </w:p>
        </w:tc>
        <w:tc>
          <w:tcPr>
            <w:tcW w:type="dxa" w:w="1481"/>
            <w:vAlign w:val="top"/>
          </w:tcPr>
          <w:p>
            <w:r>
              <w:t>CORE</w:t>
            </w:r>
          </w:p>
        </w:tc>
        <w:tc>
          <w:tcPr>
            <w:tcW w:type="dxa" w:w="1481"/>
            <w:vAlign w:val="top"/>
          </w:tcPr>
          <w:p>
            <w:r>
              <w:t>Separate informational authorities held by different sovereigns or jurisdictions should not aggregate through technical architecture into a broader effective power that none independently possesses.</w:t>
            </w:r>
          </w:p>
        </w:tc>
        <w:tc>
          <w:tcPr>
            <w:tcW w:type="dxa" w:w="1481"/>
            <w:vAlign w:val="top"/>
          </w:tcPr>
          <w:p>
            <w:r>
              <w:t>V2.0-V2.1; divided-authority and federalism antecedents.</w:t>
            </w:r>
          </w:p>
        </w:tc>
        <w:tc>
          <w:tcPr>
            <w:tcW w:type="dxa" w:w="1481"/>
            <w:vAlign w:val="top"/>
          </w:tcPr>
          <w:p>
            <w:r>
              <w:t>Test intergovernmental sharing, fusion centers, federated queries, reciprocal access, and capability laundering.</w:t>
            </w:r>
          </w:p>
        </w:tc>
      </w:tr>
      <w:tr>
        <w:tc>
          <w:tcPr>
            <w:tcW w:type="dxa" w:w="1481"/>
            <w:vAlign w:val="top"/>
          </w:tcPr>
          <w:p>
            <w:r>
              <w:t>P-28</w:t>
            </w:r>
          </w:p>
        </w:tc>
        <w:tc>
          <w:tcPr>
            <w:tcW w:type="dxa" w:w="1481"/>
            <w:vAlign w:val="top"/>
          </w:tcPr>
          <w:p>
            <w:r>
              <w:t>AI boundary inheritance</w:t>
            </w:r>
          </w:p>
        </w:tc>
        <w:tc>
          <w:tcPr>
            <w:tcW w:type="dxa" w:w="1481"/>
            <w:vAlign w:val="top"/>
          </w:tcPr>
          <w:p>
            <w:r>
              <w:t>AI governance / architecture</w:t>
            </w:r>
          </w:p>
        </w:tc>
        <w:tc>
          <w:tcPr>
            <w:tcW w:type="dxa" w:w="1481"/>
            <w:vAlign w:val="top"/>
          </w:tcPr>
          <w:p>
            <w:r>
              <w:t>CORE</w:t>
            </w:r>
          </w:p>
        </w:tc>
        <w:tc>
          <w:tcPr>
            <w:tcW w:type="dxa" w:w="1481"/>
            <w:vAlign w:val="top"/>
          </w:tcPr>
          <w:p>
            <w:r>
              <w:t>AI systems and agents performing governmental functions inherit the authority limits of those functions and do not acquire broader informational authority merely because computation permits it.</w:t>
            </w:r>
          </w:p>
        </w:tc>
        <w:tc>
          <w:tcPr>
            <w:tcW w:type="dxa" w:w="1481"/>
            <w:vAlign w:val="top"/>
          </w:tcPr>
          <w:p>
            <w:r>
              <w:t>V1.1 onward; GAAFA reciprocal development.</w:t>
            </w:r>
          </w:p>
        </w:tc>
        <w:tc>
          <w:tcPr>
            <w:tcW w:type="dxa" w:w="1481"/>
            <w:vAlign w:val="top"/>
          </w:tcPr>
          <w:p>
            <w:r>
              <w:t>Check learned artifacts, embeddings, cross-purpose training, inference, agent chaining.</w:t>
            </w:r>
          </w:p>
        </w:tc>
      </w:tr>
      <w:tr>
        <w:tc>
          <w:tcPr>
            <w:tcW w:type="dxa" w:w="1481"/>
            <w:vAlign w:val="top"/>
          </w:tcPr>
          <w:p>
            <w:r>
              <w:t>P-29</w:t>
            </w:r>
          </w:p>
        </w:tc>
        <w:tc>
          <w:tcPr>
            <w:tcW w:type="dxa" w:w="1481"/>
            <w:vAlign w:val="top"/>
          </w:tcPr>
          <w:p>
            <w:r>
              <w:t>Vendor non-fiduciary status</w:t>
            </w:r>
          </w:p>
        </w:tc>
        <w:tc>
          <w:tcPr>
            <w:tcW w:type="dxa" w:w="1481"/>
            <w:vAlign w:val="top"/>
          </w:tcPr>
          <w:p>
            <w:r>
              <w:t>Legal / procurement</w:t>
            </w:r>
          </w:p>
        </w:tc>
        <w:tc>
          <w:tcPr>
            <w:tcW w:type="dxa" w:w="1481"/>
            <w:vAlign w:val="top"/>
          </w:tcPr>
          <w:p>
            <w:r>
              <w:t>FOUNDATIONAL</w:t>
            </w:r>
          </w:p>
        </w:tc>
        <w:tc>
          <w:tcPr>
            <w:tcW w:type="dxa" w:w="1481"/>
            <w:vAlign w:val="top"/>
          </w:tcPr>
          <w:p>
            <w:r>
              <w:t>A private vendor does not become a governmental fiduciary merely because it contracts with government or handles government-related information.</w:t>
            </w:r>
          </w:p>
        </w:tc>
        <w:tc>
          <w:tcPr>
            <w:tcW w:type="dxa" w:w="1481"/>
            <w:vAlign w:val="top"/>
          </w:tcPr>
          <w:p>
            <w:r>
              <w:t>Clarified during V1.3 and 2026 review.</w:t>
            </w:r>
          </w:p>
        </w:tc>
        <w:tc>
          <w:tcPr>
            <w:tcW w:type="dxa" w:w="1481"/>
            <w:vAlign w:val="top"/>
          </w:tcPr>
          <w:p>
            <w:r>
              <w:t>Keep separate from state-action doctrine and agency relationships where facts may differ.</w:t>
            </w:r>
          </w:p>
        </w:tc>
      </w:tr>
      <w:tr>
        <w:tc>
          <w:tcPr>
            <w:tcW w:type="dxa" w:w="1481"/>
            <w:vAlign w:val="top"/>
          </w:tcPr>
          <w:p>
            <w:r>
              <w:t>P-30</w:t>
            </w:r>
          </w:p>
        </w:tc>
        <w:tc>
          <w:tcPr>
            <w:tcW w:type="dxa" w:w="1481"/>
            <w:vAlign w:val="top"/>
          </w:tcPr>
          <w:p>
            <w:r>
              <w:t>Nondelegable governmental duty</w:t>
            </w:r>
          </w:p>
        </w:tc>
        <w:tc>
          <w:tcPr>
            <w:tcW w:type="dxa" w:w="1481"/>
            <w:vAlign w:val="top"/>
          </w:tcPr>
          <w:p>
            <w:r>
              <w:t>Fiduciary / procurement</w:t>
            </w:r>
          </w:p>
        </w:tc>
        <w:tc>
          <w:tcPr>
            <w:tcW w:type="dxa" w:w="1481"/>
            <w:vAlign w:val="top"/>
          </w:tcPr>
          <w:p>
            <w:r>
              <w:t>FOUNDATIONAL</w:t>
            </w:r>
          </w:p>
        </w:tc>
        <w:tc>
          <w:tcPr>
            <w:tcW w:type="dxa" w:w="1481"/>
            <w:vAlign w:val="top"/>
          </w:tcPr>
          <w:p>
            <w:r>
              <w:t>Government cannot contract away the fiduciary limitations, legal authority limits, or conformance obligations applicable to the governmental function it exercises.</w:t>
            </w:r>
          </w:p>
        </w:tc>
        <w:tc>
          <w:tcPr>
            <w:tcW w:type="dxa" w:w="1481"/>
            <w:vAlign w:val="top"/>
          </w:tcPr>
          <w:p>
            <w:r>
              <w:t>Public-fiduciary theory; procurement law analogues; V1.3 onward.</w:t>
            </w:r>
          </w:p>
        </w:tc>
        <w:tc>
          <w:tcPr>
            <w:tcW w:type="dxa" w:w="1481"/>
            <w:vAlign w:val="top"/>
          </w:tcPr>
          <w:p>
            <w:r>
              <w:t>Government duty persists even where implementation is private.</w:t>
            </w:r>
          </w:p>
        </w:tc>
      </w:tr>
      <w:tr>
        <w:tc>
          <w:tcPr>
            <w:tcW w:type="dxa" w:w="1481"/>
            <w:vAlign w:val="top"/>
          </w:tcPr>
          <w:p>
            <w:r>
              <w:t>P-31</w:t>
            </w:r>
          </w:p>
        </w:tc>
        <w:tc>
          <w:tcPr>
            <w:tcW w:type="dxa" w:w="1481"/>
            <w:vAlign w:val="top"/>
          </w:tcPr>
          <w:p>
            <w:r>
              <w:t>Vendor capability and conformance</w:t>
            </w:r>
          </w:p>
        </w:tc>
        <w:tc>
          <w:tcPr>
            <w:tcW w:type="dxa" w:w="1481"/>
            <w:vAlign w:val="top"/>
          </w:tcPr>
          <w:p>
            <w:r>
              <w:t>Procurement / architecture</w:t>
            </w:r>
          </w:p>
        </w:tc>
        <w:tc>
          <w:tcPr>
            <w:tcW w:type="dxa" w:w="1481"/>
            <w:vAlign w:val="top"/>
          </w:tcPr>
          <w:p>
            <w:r>
              <w:t>TIER 1</w:t>
            </w:r>
          </w:p>
        </w:tc>
        <w:tc>
          <w:tcPr>
            <w:tcW w:type="dxa" w:w="1481"/>
            <w:vAlign w:val="top"/>
          </w:tcPr>
          <w:p>
            <w:r>
              <w:t>Capabilities government can exercise through ordinary Vendor permissions, subscriptions, interfaces, agents, delegated roles, or services are attributable to government for architectural and conformance assessment. That attribution does not itself make the Vendor a governmental fiduciary or establish constitutional state action.</w:t>
            </w:r>
          </w:p>
        </w:tc>
        <w:tc>
          <w:tcPr>
            <w:tcW w:type="dxa" w:w="1481"/>
            <w:vAlign w:val="top"/>
          </w:tcPr>
          <w:p>
            <w:r>
              <w:t>V1.3 onward; clarified in 2026 Vendor-status review and synchronized in the Version 2.2 Model Act Freeze Candidate trilogy.</w:t>
            </w:r>
          </w:p>
        </w:tc>
        <w:tc>
          <w:tcPr>
            <w:tcW w:type="dxa" w:w="1481"/>
            <w:vAlign w:val="top"/>
          </w:tcPr>
          <w:p>
            <w:r>
              <w:t>Separately analyze governmental duty, Vendor statutory/contract duties, agency where applicable, state action, and conformance attribution.</w:t>
            </w:r>
          </w:p>
        </w:tc>
      </w:tr>
      <w:tr>
        <w:tc>
          <w:tcPr>
            <w:tcW w:type="dxa" w:w="1481"/>
            <w:vAlign w:val="top"/>
          </w:tcPr>
          <w:p>
            <w:r>
              <w:t>P-32</w:t>
            </w:r>
          </w:p>
        </w:tc>
        <w:tc>
          <w:tcPr>
            <w:tcW w:type="dxa" w:w="1481"/>
            <w:vAlign w:val="top"/>
          </w:tcPr>
          <w:p>
            <w:r>
              <w:t>Procure functions, not generalized capability</w:t>
            </w:r>
          </w:p>
        </w:tc>
        <w:tc>
          <w:tcPr>
            <w:tcW w:type="dxa" w:w="1481"/>
            <w:vAlign w:val="top"/>
          </w:tcPr>
          <w:p>
            <w:r>
              <w:t>Procurement / reform</w:t>
            </w:r>
          </w:p>
        </w:tc>
        <w:tc>
          <w:tcPr>
            <w:tcW w:type="dxa" w:w="1481"/>
            <w:vAlign w:val="top"/>
          </w:tcPr>
          <w:p>
            <w:r>
              <w:t>TIER 1</w:t>
            </w:r>
          </w:p>
        </w:tc>
        <w:tc>
          <w:tcPr>
            <w:tcW w:type="dxa" w:w="1481"/>
            <w:vAlign w:val="top"/>
          </w:tcPr>
          <w:p>
            <w:r>
              <w:t>Government should procure the least informationally powerful functions and standing capabilities reasonably sufficient for legitimate missions, rather than generalized or bundled capability merely because it is positively authorized, commercially available, technically convenient, or potentially useful under future conditions.</w:t>
            </w:r>
          </w:p>
        </w:tc>
        <w:tc>
          <w:tcPr>
            <w:tcW w:type="dxa" w:w="1481"/>
            <w:vAlign w:val="top"/>
          </w:tcPr>
          <w:p>
            <w:r>
              <w:t>V1.3 institutionalization; refined by Version 2.2 PLA/LIA and IR-01 Structural Least Power.</w:t>
            </w:r>
          </w:p>
        </w:tc>
        <w:tc>
          <w:tcPr>
            <w:tcW w:type="dxa" w:w="1481"/>
            <w:vAlign w:val="top"/>
          </w:tcPr>
          <w:p>
            <w:r>
              <w:t>Require capability inventory, narrower-alternative analysis, activation predicates, Vendor non-expansion, and remediation of bundled excess.</w:t>
            </w:r>
          </w:p>
        </w:tc>
      </w:tr>
      <w:tr>
        <w:tc>
          <w:tcPr>
            <w:tcW w:type="dxa" w:w="1481"/>
            <w:vAlign w:val="top"/>
          </w:tcPr>
          <w:p>
            <w:r>
              <w:t>P-33</w:t>
            </w:r>
          </w:p>
        </w:tc>
        <w:tc>
          <w:tcPr>
            <w:tcW w:type="dxa" w:w="1481"/>
            <w:vAlign w:val="top"/>
          </w:tcPr>
          <w:p>
            <w:r>
              <w:t>Chatrie architectural bridge</w:t>
            </w:r>
          </w:p>
        </w:tc>
        <w:tc>
          <w:tcPr>
            <w:tcW w:type="dxa" w:w="1481"/>
            <w:vAlign w:val="top"/>
          </w:tcPr>
          <w:p>
            <w:r>
              <w:t>Doctrinal / FC synthesis</w:t>
            </w:r>
          </w:p>
        </w:tc>
        <w:tc>
          <w:tcPr>
            <w:tcW w:type="dxa" w:w="1481"/>
            <w:vAlign w:val="top"/>
          </w:tcPr>
          <w:p>
            <w:r>
              <w:t>CORE</w:t>
            </w:r>
          </w:p>
        </w:tc>
        <w:tc>
          <w:tcPr>
            <w:tcW w:type="dxa" w:w="1481"/>
            <w:vAlign w:val="top"/>
          </w:tcPr>
          <w:p>
            <w:r>
              <w:t>Chatrie is a principal modern doctrinal bridge from transactional Fourth Amendment analysis toward the constitutional significance of standing, comprehensive, retrospective surveillance capability and staged digital particularity.</w:t>
            </w:r>
          </w:p>
        </w:tc>
        <w:tc>
          <w:tcPr>
            <w:tcW w:type="dxa" w:w="1481"/>
            <w:vAlign w:val="top"/>
          </w:tcPr>
          <w:p>
            <w:r>
              <w:t>User's Chatrie scholarship; AOR-C04.</w:t>
            </w:r>
          </w:p>
        </w:tc>
        <w:tc>
          <w:tcPr>
            <w:tcW w:type="dxa" w:w="1481"/>
            <w:vAlign w:val="top"/>
          </w:tcPr>
          <w:p>
            <w:r>
              <w:t>State precisely what the case holds, what its reasoning exposes, and what FC argues from it.</w:t>
            </w:r>
          </w:p>
        </w:tc>
      </w:tr>
      <w:tr>
        <w:tc>
          <w:tcPr>
            <w:tcW w:type="dxa" w:w="1481"/>
            <w:vAlign w:val="top"/>
          </w:tcPr>
          <w:p>
            <w:r>
              <w:t>P-34</w:t>
            </w:r>
          </w:p>
        </w:tc>
        <w:tc>
          <w:tcPr>
            <w:tcW w:type="dxa" w:w="1481"/>
            <w:vAlign w:val="top"/>
          </w:tcPr>
          <w:p>
            <w:r>
              <w:t>General-warrant structural analogy</w:t>
            </w:r>
          </w:p>
        </w:tc>
        <w:tc>
          <w:tcPr>
            <w:tcW w:type="dxa" w:w="1481"/>
            <w:vAlign w:val="top"/>
          </w:tcPr>
          <w:p>
            <w:r>
              <w:t>Constitutional theory</w:t>
            </w:r>
          </w:p>
        </w:tc>
        <w:tc>
          <w:tcPr>
            <w:tcW w:type="dxa" w:w="1481"/>
            <w:vAlign w:val="top"/>
          </w:tcPr>
          <w:p>
            <w:r>
              <w:t>CORE</w:t>
            </w:r>
          </w:p>
        </w:tc>
        <w:tc>
          <w:tcPr>
            <w:tcW w:type="dxa" w:w="1481"/>
            <w:vAlign w:val="top"/>
          </w:tcPr>
          <w:p>
            <w:r>
              <w:t>Modern architectures can reproduce functional characteristics historically associated with general warrants: breadth, standing availability, weak particularization, and official discretion, even without a single physical warrant or database.</w:t>
            </w:r>
          </w:p>
        </w:tc>
        <w:tc>
          <w:tcPr>
            <w:tcW w:type="dxa" w:w="1481"/>
            <w:vAlign w:val="top"/>
          </w:tcPr>
          <w:p>
            <w:r>
              <w:t>Otis/general-warrant history; Chatrie; V1.5-V2.1.</w:t>
            </w:r>
          </w:p>
        </w:tc>
        <w:tc>
          <w:tcPr>
            <w:tcW w:type="dxa" w:w="1481"/>
            <w:vAlign w:val="top"/>
          </w:tcPr>
          <w:p>
            <w:r>
              <w:t>Treat architectural unconstitutionality as proposed doctrinal development where beyond existing holdings.</w:t>
            </w:r>
          </w:p>
        </w:tc>
      </w:tr>
      <w:tr>
        <w:tc>
          <w:tcPr>
            <w:tcW w:type="dxa" w:w="1481"/>
            <w:vAlign w:val="top"/>
          </w:tcPr>
          <w:p>
            <w:r>
              <w:t>P-35</w:t>
            </w:r>
          </w:p>
        </w:tc>
        <w:tc>
          <w:tcPr>
            <w:tcW w:type="dxa" w:w="1481"/>
            <w:vAlign w:val="top"/>
          </w:tcPr>
          <w:p>
            <w:r>
              <w:t>Rule of Doctrinal Candor</w:t>
            </w:r>
          </w:p>
        </w:tc>
        <w:tc>
          <w:tcPr>
            <w:tcW w:type="dxa" w:w="1481"/>
            <w:vAlign w:val="top"/>
          </w:tcPr>
          <w:p>
            <w:r>
              <w:t>Methodological</w:t>
            </w:r>
          </w:p>
        </w:tc>
        <w:tc>
          <w:tcPr>
            <w:tcW w:type="dxa" w:w="1481"/>
            <w:vAlign w:val="top"/>
          </w:tcPr>
          <w:p>
            <w:r>
              <w:t>FOUNDATIONAL</w:t>
            </w:r>
          </w:p>
        </w:tc>
        <w:tc>
          <w:tcPr>
            <w:tcW w:type="dxa" w:w="1481"/>
            <w:vAlign w:val="top"/>
          </w:tcPr>
          <w:p>
            <w:r>
              <w:t>FC must state clearly whether a proposition is existing law, historical evidence, interpretive inference, FC normative thesis, architectural principle, proposed reform, or proposed constitutional development.</w:t>
            </w:r>
          </w:p>
        </w:tc>
        <w:tc>
          <w:tcPr>
            <w:tcW w:type="dxa" w:w="1481"/>
            <w:vAlign w:val="top"/>
          </w:tcPr>
          <w:p>
            <w:r>
              <w:t>Formalized V1.5 and reinforced throughout research.</w:t>
            </w:r>
          </w:p>
        </w:tc>
        <w:tc>
          <w:tcPr>
            <w:tcW w:type="dxa" w:w="1481"/>
            <w:vAlign w:val="top"/>
          </w:tcPr>
          <w:p>
            <w:r>
              <w:t>No citation laundering or doctrinal overstatement.</w:t>
            </w:r>
          </w:p>
        </w:tc>
      </w:tr>
      <w:tr>
        <w:tc>
          <w:tcPr>
            <w:tcW w:type="dxa" w:w="1481"/>
            <w:vAlign w:val="top"/>
          </w:tcPr>
          <w:p>
            <w:r>
              <w:t>P-36</w:t>
            </w:r>
          </w:p>
        </w:tc>
        <w:tc>
          <w:tcPr>
            <w:tcW w:type="dxa" w:w="1481"/>
            <w:vAlign w:val="top"/>
          </w:tcPr>
          <w:p>
            <w:r>
              <w:t>Positive Legal Authority</w:t>
            </w:r>
          </w:p>
        </w:tc>
        <w:tc>
          <w:tcPr>
            <w:tcW w:type="dxa" w:w="1481"/>
            <w:vAlign w:val="top"/>
          </w:tcPr>
          <w:p>
            <w:r>
              <w:t>Public law / FC bridge</w:t>
            </w:r>
          </w:p>
        </w:tc>
        <w:tc>
          <w:tcPr>
            <w:tcW w:type="dxa" w:w="1481"/>
            <w:vAlign w:val="top"/>
          </w:tcPr>
          <w:p>
            <w:r>
              <w:t>FOUNDATIONAL</w:t>
            </w:r>
          </w:p>
        </w:tc>
        <w:tc>
          <w:tcPr>
            <w:tcW w:type="dxa" w:w="1481"/>
            <w:vAlign w:val="top"/>
          </w:tcPr>
          <w:p>
            <w:r>
              <w:t>Positive Legal Authority identifies a competent legal source authorizing government to act. It is necessary where applicable, but it is not self-validating as to the legitimacy, scope, necessity, or ordinary standing availability of the resulting informational power.</w:t>
            </w:r>
          </w:p>
        </w:tc>
        <w:tc>
          <w:tcPr>
            <w:tcW w:type="dxa" w:w="1481"/>
            <w:vAlign w:val="top"/>
          </w:tcPr>
          <w:p>
            <w:r>
              <w:t>Version 2.2 post-2.1 substantive correction; FC-P2.1-SD-01; FCGIAS 2.2.</w:t>
            </w:r>
          </w:p>
        </w:tc>
        <w:tc>
          <w:tcPr>
            <w:tcW w:type="dxa" w:w="1481"/>
            <w:vAlign w:val="top"/>
          </w:tcPr>
          <w:p>
            <w:r>
              <w:t>Never treat statutory authorization, regulation, contract, or technical standard as automatically establishing LIA. Preserve constitutional and controlling-law supremacy.</w:t>
            </w:r>
          </w:p>
        </w:tc>
      </w:tr>
      <w:tr>
        <w:tc>
          <w:tcPr>
            <w:tcW w:type="dxa" w:w="1481"/>
            <w:vAlign w:val="top"/>
          </w:tcPr>
          <w:p>
            <w:r>
              <w:t>P-37</w:t>
            </w:r>
          </w:p>
        </w:tc>
        <w:tc>
          <w:tcPr>
            <w:tcW w:type="dxa" w:w="1481"/>
            <w:vAlign w:val="top"/>
          </w:tcPr>
          <w:p>
            <w:r>
              <w:t>Legitimate Informational Authority</w:t>
            </w:r>
          </w:p>
        </w:tc>
        <w:tc>
          <w:tcPr>
            <w:tcW w:type="dxa" w:w="1481"/>
            <w:vAlign w:val="top"/>
          </w:tcPr>
          <w:p>
            <w:r>
              <w:t>FC synthesis / public law</w:t>
            </w:r>
          </w:p>
        </w:tc>
        <w:tc>
          <w:tcPr>
            <w:tcW w:type="dxa" w:w="1481"/>
            <w:vAlign w:val="top"/>
          </w:tcPr>
          <w:p>
            <w:r>
              <w:t>TIER 1</w:t>
            </w:r>
          </w:p>
        </w:tc>
        <w:tc>
          <w:tcPr>
            <w:tcW w:type="dxa" w:w="1481"/>
            <w:vAlign w:val="top"/>
          </w:tcPr>
          <w:p>
            <w:r>
              <w:t>Legitimate Informational Authority is the informational power justified by the governmental relationship, originating purpose where applicable, legitimate function, necessity, proportionality, informational scope, means, duration, and consequences. Positive Legal Authority and Legitimate Informational Authority are distinct inquiries.</w:t>
            </w:r>
          </w:p>
        </w:tc>
        <w:tc>
          <w:tcPr>
            <w:tcW w:type="dxa" w:w="1481"/>
            <w:vAlign w:val="top"/>
          </w:tcPr>
          <w:p>
            <w:r>
              <w:t>Version 2.2; FC-P2.1-SD-01; FCGIAS 2.2; synchronized Model Acts.</w:t>
            </w:r>
          </w:p>
        </w:tc>
        <w:tc>
          <w:tcPr>
            <w:tcW w:type="dxa" w:w="1481"/>
            <w:vAlign w:val="top"/>
          </w:tcPr>
          <w:p>
            <w:r>
              <w:t>Apply the No-Silent-Narrowing Rule. LIA is an FC legitimacy criterion, not a claim that current positive law universally recognizes the term or test.</w:t>
            </w:r>
          </w:p>
        </w:tc>
      </w:tr>
      <w:tr>
        <w:tc>
          <w:tcPr>
            <w:tcW w:type="dxa" w:w="1481"/>
            <w:vAlign w:val="top"/>
          </w:tcPr>
          <w:p>
            <w:r>
              <w:t>P-38</w:t>
            </w:r>
          </w:p>
        </w:tc>
        <w:tc>
          <w:tcPr>
            <w:tcW w:type="dxa" w:w="1481"/>
            <w:vAlign w:val="top"/>
          </w:tcPr>
          <w:p>
            <w:r>
              <w:t>Standing Legitimate Informational Authority</w:t>
            </w:r>
          </w:p>
        </w:tc>
        <w:tc>
          <w:tcPr>
            <w:tcW w:type="dxa" w:w="1481"/>
            <w:vAlign w:val="top"/>
          </w:tcPr>
          <w:p>
            <w:r>
              <w:t>FC synthesis / architecture</w:t>
            </w:r>
          </w:p>
        </w:tc>
        <w:tc>
          <w:tcPr>
            <w:tcW w:type="dxa" w:w="1481"/>
            <w:vAlign w:val="top"/>
          </w:tcPr>
          <w:p>
            <w:r>
              <w:t>TIER 1</w:t>
            </w:r>
          </w:p>
        </w:tc>
        <w:tc>
          <w:tcPr>
            <w:tcW w:type="dxa" w:w="1481"/>
            <w:vAlign w:val="top"/>
          </w:tcPr>
          <w:p>
            <w:r>
              <w:t>Standing Legitimate Informational Authority is the outer boundary of informational power government may legitimately possess for the ordinary standing relationship and function without a new material predicate or authorization transition.</w:t>
            </w:r>
          </w:p>
        </w:tc>
        <w:tc>
          <w:tcPr>
            <w:tcW w:type="dxa" w:w="1481"/>
            <w:vAlign w:val="top"/>
          </w:tcPr>
          <w:p>
            <w:r>
              <w:t>Version 2.2; refined by IR-01.</w:t>
            </w:r>
          </w:p>
        </w:tc>
        <w:tc>
          <w:tcPr>
            <w:tcW w:type="dxa" w:w="1481"/>
            <w:vAlign w:val="top"/>
          </w:tcPr>
          <w:p>
            <w:r>
              <w:t>Treat SLIA as an outer ceiling, not as a procurement specification or permission to keep every potentially legitimate capability permanently available.</w:t>
            </w:r>
          </w:p>
        </w:tc>
      </w:tr>
      <w:tr>
        <w:tc>
          <w:tcPr>
            <w:tcW w:type="dxa" w:w="1481"/>
            <w:vAlign w:val="top"/>
          </w:tcPr>
          <w:p>
            <w:r>
              <w:t>P-39</w:t>
            </w:r>
          </w:p>
        </w:tc>
        <w:tc>
          <w:tcPr>
            <w:tcW w:type="dxa" w:w="1481"/>
            <w:vAlign w:val="top"/>
          </w:tcPr>
          <w:p>
            <w:r>
              <w:t>Citizen-Originated Purpose</w:t>
            </w:r>
          </w:p>
        </w:tc>
        <w:tc>
          <w:tcPr>
            <w:tcW w:type="dxa" w:w="1481"/>
            <w:vAlign w:val="top"/>
          </w:tcPr>
          <w:p>
            <w:r>
              <w:t>Jurisprudential / architectural</w:t>
            </w:r>
          </w:p>
        </w:tc>
        <w:tc>
          <w:tcPr>
            <w:tcW w:type="dxa" w:w="1481"/>
            <w:vAlign w:val="top"/>
          </w:tcPr>
          <w:p>
            <w:r>
              <w:t>CORE</w:t>
            </w:r>
          </w:p>
        </w:tc>
        <w:tc>
          <w:tcPr>
            <w:tcW w:type="dxa" w:w="1481"/>
            <w:vAlign w:val="top"/>
          </w:tcPr>
          <w:p>
            <w:r>
              <w:t>Where an individual voluntarily initiates a governmental interaction, the individual's specific purpose presumptively defines the initial informational boundary of that transaction. Government may depart materially from that purpose only on independently sufficient authority and substantive justification.</w:t>
            </w:r>
          </w:p>
        </w:tc>
        <w:tc>
          <w:tcPr>
            <w:tcW w:type="dxa" w:w="1481"/>
            <w:vAlign w:val="top"/>
          </w:tcPr>
          <w:p>
            <w:r>
              <w:t>Antecedent individual-control and purpose work; elevated expressly in Version 2.2.</w:t>
            </w:r>
          </w:p>
        </w:tc>
        <w:tc>
          <w:tcPr>
            <w:tcW w:type="dxa" w:w="1481"/>
            <w:vAlign w:val="top"/>
          </w:tcPr>
          <w:p>
            <w:r>
              <w:t>Do not convert citizen purpose into consent fiction or a veto over independently legitimate sovereign functions. Analyze later divergent uses separately.</w:t>
            </w:r>
          </w:p>
        </w:tc>
      </w:tr>
      <w:tr>
        <w:tc>
          <w:tcPr>
            <w:tcW w:type="dxa" w:w="1481"/>
            <w:vAlign w:val="top"/>
          </w:tcPr>
          <w:p>
            <w:r>
              <w:t>P-40</w:t>
            </w:r>
          </w:p>
        </w:tc>
        <w:tc>
          <w:tcPr>
            <w:tcW w:type="dxa" w:w="1481"/>
            <w:vAlign w:val="top"/>
          </w:tcPr>
          <w:p>
            <w:r>
              <w:t>Purpose Divergence</w:t>
            </w:r>
          </w:p>
        </w:tc>
        <w:tc>
          <w:tcPr>
            <w:tcW w:type="dxa" w:w="1481"/>
            <w:vAlign w:val="top"/>
          </w:tcPr>
          <w:p>
            <w:r>
              <w:t>FC synthesis / architecture</w:t>
            </w:r>
          </w:p>
        </w:tc>
        <w:tc>
          <w:tcPr>
            <w:tcW w:type="dxa" w:w="1481"/>
            <w:vAlign w:val="top"/>
          </w:tcPr>
          <w:p>
            <w:r>
              <w:t>TIER 1</w:t>
            </w:r>
          </w:p>
        </w:tc>
        <w:tc>
          <w:tcPr>
            <w:tcW w:type="dxa" w:w="1481"/>
            <w:vAlign w:val="top"/>
          </w:tcPr>
          <w:p>
            <w:r>
              <w:t>A material departure from the Originating Informational Purpose is a distinct legitimacy event. Technical reuse, interoperability, observability, correlation, inference, or administrative convenience does not erase the need to justify the divergent governmental purpose.</w:t>
            </w:r>
          </w:p>
        </w:tc>
        <w:tc>
          <w:tcPr>
            <w:tcW w:type="dxa" w:w="1481"/>
            <w:vAlign w:val="top"/>
          </w:tcPr>
          <w:p>
            <w:r>
              <w:t>Version 2.2 FC-P2.1-SD-01; synchronized PDTA, VIDA, and GAAFA.</w:t>
            </w:r>
          </w:p>
        </w:tc>
        <w:tc>
          <w:tcPr>
            <w:tcW w:type="dxa" w:w="1481"/>
            <w:vAlign w:val="top"/>
          </w:tcPr>
          <w:p>
            <w:r>
              <w:t>Identify whether divergence is purpose-constitutive, purpose-protective, purpose-divergent, or purpose-generalized under the IJ framework.</w:t>
            </w:r>
          </w:p>
        </w:tc>
      </w:tr>
      <w:tr>
        <w:tc>
          <w:tcPr>
            <w:tcW w:type="dxa" w:w="1481"/>
            <w:vAlign w:val="top"/>
          </w:tcPr>
          <w:p>
            <w:r>
              <w:t>P-41</w:t>
            </w:r>
          </w:p>
        </w:tc>
        <w:tc>
          <w:tcPr>
            <w:tcW w:type="dxa" w:w="1481"/>
            <w:vAlign w:val="top"/>
          </w:tcPr>
          <w:p>
            <w:r>
              <w:t>Informational Justification Levels</w:t>
            </w:r>
          </w:p>
        </w:tc>
        <w:tc>
          <w:tcPr>
            <w:tcW w:type="dxa" w:w="1481"/>
            <w:vAlign w:val="top"/>
          </w:tcPr>
          <w:p>
            <w:r>
              <w:t>FC synthesis / control methodology</w:t>
            </w:r>
          </w:p>
        </w:tc>
        <w:tc>
          <w:tcPr>
            <w:tcW w:type="dxa" w:w="1481"/>
            <w:vAlign w:val="top"/>
          </w:tcPr>
          <w:p>
            <w:r>
              <w:t>CORE</w:t>
            </w:r>
          </w:p>
        </w:tc>
        <w:tc>
          <w:tcPr>
            <w:tcW w:type="dxa" w:w="1481"/>
            <w:vAlign w:val="top"/>
          </w:tcPr>
          <w:p>
            <w:r>
              <w:t>FC classifies informational justification as IJ-1 Purpose-Constitutive, IJ-2 Purpose-Protective, IJ-3 Purpose-Divergent, and IJ-4 Purpose-Generalized. Increasing divergence from the originating relationship and purpose requires correspondingly stronger, more particular, and independently reviewable justification.</w:t>
            </w:r>
          </w:p>
        </w:tc>
        <w:tc>
          <w:tcPr>
            <w:tcW w:type="dxa" w:w="1481"/>
            <w:vAlign w:val="top"/>
          </w:tcPr>
          <w:p>
            <w:r>
              <w:t>Version 2.2.</w:t>
            </w:r>
          </w:p>
        </w:tc>
        <w:tc>
          <w:tcPr>
            <w:tcW w:type="dxa" w:w="1481"/>
            <w:vAlign w:val="top"/>
          </w:tcPr>
          <w:p>
            <w:r>
              <w:t>Structural Least Power operates before IJ balancing. IJ analysis does not cure an avoidable unnecessary standing capability.</w:t>
            </w:r>
          </w:p>
        </w:tc>
      </w:tr>
      <w:tr>
        <w:tc>
          <w:tcPr>
            <w:tcW w:type="dxa" w:w="1481"/>
            <w:vAlign w:val="top"/>
          </w:tcPr>
          <w:p>
            <w:r>
              <w:t>P-42</w:t>
            </w:r>
          </w:p>
        </w:tc>
        <w:tc>
          <w:tcPr>
            <w:tcW w:type="dxa" w:w="1481"/>
            <w:vAlign w:val="top"/>
          </w:tcPr>
          <w:p>
            <w:r>
              <w:t>Anti-Abstraction / Anti-Purpose-Laundering</w:t>
            </w:r>
          </w:p>
        </w:tc>
        <w:tc>
          <w:tcPr>
            <w:tcW w:type="dxa" w:w="1481"/>
            <w:vAlign w:val="top"/>
          </w:tcPr>
          <w:p>
            <w:r>
              <w:t>FC synthesis / legal architecture</w:t>
            </w:r>
          </w:p>
        </w:tc>
        <w:tc>
          <w:tcPr>
            <w:tcW w:type="dxa" w:w="1481"/>
            <w:vAlign w:val="top"/>
          </w:tcPr>
          <w:p>
            <w:r>
              <w:t>TIER 1</w:t>
            </w:r>
          </w:p>
        </w:tc>
        <w:tc>
          <w:tcPr>
            <w:tcW w:type="dxa" w:w="1481"/>
            <w:vAlign w:val="top"/>
          </w:tcPr>
          <w:p>
            <w:r>
              <w:t>Government may not justify materially broader informational power by abstracting a specific function into a generalized label such as public safety, fraud prevention, program integrity, efficiency, analytics, or citizen services. Purpose must remain particular enough to constrain power.</w:t>
            </w:r>
          </w:p>
        </w:tc>
        <w:tc>
          <w:tcPr>
            <w:tcW w:type="dxa" w:w="1481"/>
            <w:vAlign w:val="top"/>
          </w:tcPr>
          <w:p>
            <w:r>
              <w:t>Version 2.2 Purpose-Divergence doctrine.</w:t>
            </w:r>
          </w:p>
        </w:tc>
        <w:tc>
          <w:tcPr>
            <w:tcW w:type="dxa" w:w="1481"/>
            <w:vAlign w:val="top"/>
          </w:tcPr>
          <w:p>
            <w:r>
              <w:t>Test whether the stated purpose actually constrains persons, domains, operations, duration, consequence, and permissible capability.</w:t>
            </w:r>
          </w:p>
        </w:tc>
      </w:tr>
      <w:tr>
        <w:tc>
          <w:tcPr>
            <w:tcW w:type="dxa" w:w="1481"/>
            <w:vAlign w:val="top"/>
          </w:tcPr>
          <w:p>
            <w:r>
              <w:t>P-43</w:t>
            </w:r>
          </w:p>
        </w:tc>
        <w:tc>
          <w:tcPr>
            <w:tcW w:type="dxa" w:w="1481"/>
            <w:vAlign w:val="top"/>
          </w:tcPr>
          <w:p>
            <w:r>
              <w:t>Conformance Non-Usurpation</w:t>
            </w:r>
          </w:p>
        </w:tc>
        <w:tc>
          <w:tcPr>
            <w:tcW w:type="dxa" w:w="1481"/>
            <w:vAlign w:val="top"/>
          </w:tcPr>
          <w:p>
            <w:r>
              <w:t>Institutional / public law</w:t>
            </w:r>
          </w:p>
        </w:tc>
        <w:tc>
          <w:tcPr>
            <w:tcW w:type="dxa" w:w="1481"/>
            <w:vAlign w:val="top"/>
          </w:tcPr>
          <w:p>
            <w:r>
              <w:t>FOUNDATIONAL</w:t>
            </w:r>
          </w:p>
        </w:tc>
        <w:tc>
          <w:tcPr>
            <w:tcW w:type="dxa" w:w="1481"/>
            <w:vAlign w:val="top"/>
          </w:tcPr>
          <w:p>
            <w:r>
              <w:t>FCGIAS, conformance tests, technical standards, procurement specifications, and administrative rules do not independently create governmental informational authority. Binding obligations arise only through competent legal incorporation, while controlling law remains supreme.</w:t>
            </w:r>
          </w:p>
        </w:tc>
        <w:tc>
          <w:tcPr>
            <w:tcW w:type="dxa" w:w="1481"/>
            <w:vAlign w:val="top"/>
          </w:tcPr>
          <w:p>
            <w:r>
              <w:t>V2.1 reference-integrity work; made explicit in Version 2.2.</w:t>
            </w:r>
          </w:p>
        </w:tc>
        <w:tc>
          <w:tcPr>
            <w:tcW w:type="dxa" w:w="1481"/>
            <w:vAlign w:val="top"/>
          </w:tcPr>
          <w:p>
            <w:r>
              <w:t>Distinguish normative architecture from enacted law. Do not bootstrap power or liability from a technical standard.</w:t>
            </w:r>
          </w:p>
        </w:tc>
      </w:tr>
      <w:tr>
        <w:tc>
          <w:tcPr>
            <w:tcW w:type="dxa" w:w="1481"/>
            <w:vAlign w:val="top"/>
          </w:tcPr>
          <w:p>
            <w:r>
              <w:t>P-44</w:t>
            </w:r>
          </w:p>
        </w:tc>
        <w:tc>
          <w:tcPr>
            <w:tcW w:type="dxa" w:w="1481"/>
            <w:vAlign w:val="top"/>
          </w:tcPr>
          <w:p>
            <w:r>
              <w:t>Express Democratic Departure</w:t>
            </w:r>
          </w:p>
        </w:tc>
        <w:tc>
          <w:tcPr>
            <w:tcW w:type="dxa" w:w="1481"/>
            <w:vAlign w:val="top"/>
          </w:tcPr>
          <w:p>
            <w:r>
              <w:t>Public law / institutional</w:t>
            </w:r>
          </w:p>
        </w:tc>
        <w:tc>
          <w:tcPr>
            <w:tcW w:type="dxa" w:w="1481"/>
            <w:vAlign w:val="top"/>
          </w:tcPr>
          <w:p>
            <w:r>
              <w:t>CORE</w:t>
            </w:r>
          </w:p>
        </w:tc>
        <w:tc>
          <w:tcPr>
            <w:tcW w:type="dxa" w:w="1481"/>
            <w:vAlign w:val="top"/>
          </w:tcPr>
          <w:p>
            <w:r>
              <w:t>A legislature may expressly choose a materially different informational rule within constitutional limits, but generalized grants of governmental function should not by implication repeal, waive, or satisfy a more specific FC informational-legitimacy requirement once enacted.</w:t>
            </w:r>
          </w:p>
        </w:tc>
        <w:tc>
          <w:tcPr>
            <w:tcW w:type="dxa" w:w="1481"/>
            <w:vAlign w:val="top"/>
          </w:tcPr>
          <w:p>
            <w:r>
              <w:t>Version 2.2 statutory synchronization.</w:t>
            </w:r>
          </w:p>
        </w:tc>
        <w:tc>
          <w:tcPr>
            <w:tcW w:type="dxa" w:w="1481"/>
            <w:vAlign w:val="top"/>
          </w:tcPr>
          <w:p>
            <w:r>
              <w:t>Separate FC's model-law construction rule from constitutional claims. Express legislative departure does not cure constitutional defects.</w:t>
            </w:r>
          </w:p>
        </w:tc>
      </w:tr>
      <w:tr>
        <w:tc>
          <w:tcPr>
            <w:tcW w:type="dxa" w:w="1481"/>
            <w:vAlign w:val="top"/>
          </w:tcPr>
          <w:p>
            <w:r>
              <w:t>P-45</w:t>
            </w:r>
          </w:p>
        </w:tc>
        <w:tc>
          <w:tcPr>
            <w:tcW w:type="dxa" w:w="1481"/>
            <w:vAlign w:val="top"/>
          </w:tcPr>
          <w:p>
            <w:r>
              <w:t>Necessary Standing Informational Capability</w:t>
            </w:r>
          </w:p>
        </w:tc>
        <w:tc>
          <w:tcPr>
            <w:tcW w:type="dxa" w:w="1481"/>
            <w:vAlign w:val="top"/>
          </w:tcPr>
          <w:p>
            <w:r>
              <w:t>FC synthesis / architecture</w:t>
            </w:r>
          </w:p>
        </w:tc>
        <w:tc>
          <w:tcPr>
            <w:tcW w:type="dxa" w:w="1481"/>
            <w:vAlign w:val="top"/>
          </w:tcPr>
          <w:p>
            <w:r>
              <w:t>TIER 1</w:t>
            </w:r>
          </w:p>
        </w:tc>
        <w:tc>
          <w:tcPr>
            <w:tcW w:type="dxa" w:w="1481"/>
            <w:vAlign w:val="top"/>
          </w:tcPr>
          <w:p>
            <w:r>
              <w:t>Necessary Standing Informational Capability is the portion of Standing Legitimate Informational Authority that government reasonably needs to maintain as ordinary standing technical power to perform the legitimate standing function with required utility, reliability, security, accessibility, legal effectiveness, and continuity.</w:t>
            </w:r>
          </w:p>
        </w:tc>
        <w:tc>
          <w:tcPr>
            <w:tcW w:type="dxa" w:w="1481"/>
            <w:vAlign w:val="top"/>
          </w:tcPr>
          <w:p>
            <w:r>
              <w:t>IR-01 adopted controlled Version 2.2 clarification; T-70; CF-79.</w:t>
            </w:r>
          </w:p>
        </w:tc>
        <w:tc>
          <w:tcPr>
            <w:tcW w:type="dxa" w:w="1481"/>
            <w:vAlign w:val="top"/>
          </w:tcPr>
          <w:p>
            <w:r>
              <w:t>Identify materially less informationally powerful alternatives and activation transitions. Capability useful only under future predicates ordinarily belongs behind a predicate rather than in standing power.</w:t>
            </w:r>
          </w:p>
        </w:tc>
      </w:tr>
      <w:tr>
        <w:tc>
          <w:tcPr>
            <w:tcW w:type="dxa" w:w="1481"/>
            <w:vAlign w:val="top"/>
          </w:tcPr>
          <w:p>
            <w:r>
              <w:t>P-46</w:t>
            </w:r>
          </w:p>
        </w:tc>
        <w:tc>
          <w:tcPr>
            <w:tcW w:type="dxa" w:w="1481"/>
            <w:vAlign w:val="top"/>
          </w:tcPr>
          <w:p>
            <w:r>
              <w:t>Structural Least Power</w:t>
            </w:r>
          </w:p>
        </w:tc>
        <w:tc>
          <w:tcPr>
            <w:tcW w:type="dxa" w:w="1481"/>
            <w:vAlign w:val="top"/>
          </w:tcPr>
          <w:p>
            <w:r>
              <w:t>FC synthesis / architecture</w:t>
            </w:r>
          </w:p>
        </w:tc>
        <w:tc>
          <w:tcPr>
            <w:tcW w:type="dxa" w:w="1481"/>
            <w:vAlign w:val="top"/>
          </w:tcPr>
          <w:p>
            <w:r>
              <w:t>TIER 1</w:t>
            </w:r>
          </w:p>
        </w:tc>
        <w:tc>
          <w:tcPr>
            <w:tcW w:type="dxa" w:w="1481"/>
            <w:vAlign w:val="top"/>
          </w:tcPr>
          <w:p>
            <w:r>
              <w:t>Before applying graduated informational justification, government should determine whether a materially less informationally powerful architecture can reasonably perform the same legitimate standing function. If so, the broader ordinary standing capability is presumptively nonconforming unless government demonstrates that the broader capability itself is reasonably necessary.</w:t>
            </w:r>
          </w:p>
        </w:tc>
        <w:tc>
          <w:tcPr>
            <w:tcW w:type="dxa" w:w="1481"/>
            <w:vAlign w:val="top"/>
          </w:tcPr>
          <w:p>
            <w:r>
              <w:t>IR-01; T-70; CF-79; SD-13.</w:t>
            </w:r>
          </w:p>
        </w:tc>
        <w:tc>
          <w:tcPr>
            <w:tcW w:type="dxa" w:w="1481"/>
            <w:vAlign w:val="top"/>
          </w:tcPr>
          <w:p>
            <w:r>
              <w:t>Order of operations matters: structural necessity first, IJ analysis second. Use REMOVE, NARROW, TRANSACTIONALIZE, REQUIRE PREDICATE/RENEWED AUTHORIZATION, SEGREGATE, DISABLE BUNDLED CAPABILITY, then MONITOR/AUDIT residual capability.</w:t>
            </w:r>
          </w:p>
        </w:tc>
      </w:tr>
      <w:tr>
        <w:tc>
          <w:tcPr>
            <w:tcW w:type="dxa" w:w="1481"/>
            <w:vAlign w:val="top"/>
          </w:tcPr>
          <w:p>
            <w:r>
              <w:t>P-47</w:t>
            </w:r>
          </w:p>
        </w:tc>
        <w:tc>
          <w:tcPr>
            <w:tcW w:type="dxa" w:w="1481"/>
            <w:vAlign w:val="top"/>
          </w:tcPr>
          <w:p>
            <w:r>
              <w:t>Unnecessary Standing Capability</w:t>
            </w:r>
          </w:p>
        </w:tc>
        <w:tc>
          <w:tcPr>
            <w:tcW w:type="dxa" w:w="1481"/>
            <w:vAlign w:val="top"/>
          </w:tcPr>
          <w:p>
            <w:r>
              <w:t>Architectural / conformance</w:t>
            </w:r>
          </w:p>
        </w:tc>
        <w:tc>
          <w:tcPr>
            <w:tcW w:type="dxa" w:w="1481"/>
            <w:vAlign w:val="top"/>
          </w:tcPr>
          <w:p>
            <w:r>
              <w:t>TIER 1</w:t>
            </w:r>
          </w:p>
        </w:tc>
        <w:tc>
          <w:tcPr>
            <w:tcW w:type="dxa" w:w="1481"/>
            <w:vAlign w:val="top"/>
          </w:tcPr>
          <w:p>
            <w:r>
              <w:t>A material ordinary standing capability can be nonconforming even though it remains within the outer boundary of Standing Legitimate Informational Authority when it materially exceeds Necessary Standing Informational Capability.</w:t>
            </w:r>
          </w:p>
        </w:tc>
        <w:tc>
          <w:tcPr>
            <w:tcW w:type="dxa" w:w="1481"/>
            <w:vAlign w:val="top"/>
          </w:tcPr>
          <w:p>
            <w:r>
              <w:t>IR-01; SD-13.</w:t>
            </w:r>
          </w:p>
        </w:tc>
        <w:tc>
          <w:tcPr>
            <w:tcW w:type="dxa" w:w="1481"/>
            <w:vAlign w:val="top"/>
          </w:tcPr>
          <w:p>
            <w:r>
              <w:t>Do not confuse 'legitimately could become available' with 'should remain continuously available.' Test ordinary permissions, administrators, Vendors, AI agents, intermediaries, and partner entities.</w:t>
            </w:r>
          </w:p>
        </w:tc>
      </w:tr>
      <w:tr>
        <w:tc>
          <w:tcPr>
            <w:tcW w:type="dxa" w:w="1481"/>
            <w:vAlign w:val="top"/>
          </w:tcPr>
          <w:p>
            <w:r>
              <w:t>P-48</w:t>
            </w:r>
          </w:p>
        </w:tc>
        <w:tc>
          <w:tcPr>
            <w:tcW w:type="dxa" w:w="1481"/>
            <w:vAlign w:val="top"/>
          </w:tcPr>
          <w:p>
            <w:r>
              <w:t>No Phone Home as canonical Structural Least-Power case</w:t>
            </w:r>
          </w:p>
        </w:tc>
        <w:tc>
          <w:tcPr>
            <w:tcW w:type="dxa" w:w="1481"/>
            <w:vAlign w:val="top"/>
          </w:tcPr>
          <w:p>
            <w:r>
              <w:t>Architectural / autonomy</w:t>
            </w:r>
          </w:p>
        </w:tc>
        <w:tc>
          <w:tcPr>
            <w:tcW w:type="dxa" w:w="1481"/>
            <w:vAlign w:val="top"/>
          </w:tcPr>
          <w:p>
            <w:r>
              <w:t>CORE</w:t>
            </w:r>
          </w:p>
        </w:tc>
        <w:tc>
          <w:tcPr>
            <w:tcW w:type="dxa" w:w="1481"/>
            <w:vAlign w:val="top"/>
          </w:tcPr>
          <w:p>
            <w:r>
              <w:t>Where verification can occur without an issuer, identity provider, intermediary, or unrelated governmental actor observing the transaction or acquiring materially additional information, unnecessary observational capability should be technically unavailable unless an independent legitimate function establishes its necessity.</w:t>
            </w:r>
          </w:p>
        </w:tc>
        <w:tc>
          <w:tcPr>
            <w:tcW w:type="dxa" w:w="1481"/>
            <w:vAlign w:val="top"/>
          </w:tcPr>
          <w:p>
            <w:r>
              <w:t>Deep 2023-2024 antecedent; formal No Phone Home; designated canonical Structural Least-Power example by IR-01.</w:t>
            </w:r>
          </w:p>
        </w:tc>
        <w:tc>
          <w:tcPr>
            <w:tcW w:type="dxa" w:w="1481"/>
            <w:vAlign w:val="top"/>
          </w:tcPr>
          <w:p>
            <w:r>
              <w:t>Evaluate metadata and observability, not only credential attributes. Preserve bounded status/revocation functions when independently necessary.</w:t>
            </w:r>
          </w:p>
        </w:tc>
      </w:tr>
      <w:tr>
        <w:tc>
          <w:tcPr>
            <w:tcW w:type="dxa" w:w="1481"/>
            <w:vAlign w:val="top"/>
          </w:tcPr>
          <w:p>
            <w:r>
              <w:t>P-49</w:t>
            </w:r>
          </w:p>
        </w:tc>
        <w:tc>
          <w:tcPr>
            <w:tcW w:type="dxa" w:w="1481"/>
            <w:vAlign w:val="top"/>
          </w:tcPr>
          <w:p>
            <w:r>
              <w:t>Authority is ceiling, not capability specification</w:t>
            </w:r>
          </w:p>
        </w:tc>
        <w:tc>
          <w:tcPr>
            <w:tcW w:type="dxa" w:w="1481"/>
            <w:vAlign w:val="top"/>
          </w:tcPr>
          <w:p>
            <w:r>
              <w:t>FC synthesis / architecture</w:t>
            </w:r>
          </w:p>
        </w:tc>
        <w:tc>
          <w:tcPr>
            <w:tcW w:type="dxa" w:w="1481"/>
            <w:vAlign w:val="top"/>
          </w:tcPr>
          <w:p>
            <w:r>
              <w:t>TIER 1</w:t>
            </w:r>
          </w:p>
        </w:tc>
        <w:tc>
          <w:tcPr>
            <w:tcW w:type="dxa" w:w="1481"/>
            <w:vAlign w:val="top"/>
          </w:tcPr>
          <w:p>
            <w:r>
              <w:t>The outer boundary of legitimate governmental informational authority defines what government may legitimately become capable of doing under the relevant standing conditions; it does not specify the maximum capability government should procure, deploy, or keep continuously available.</w:t>
            </w:r>
          </w:p>
        </w:tc>
        <w:tc>
          <w:tcPr>
            <w:tcW w:type="dxa" w:w="1481"/>
            <w:vAlign w:val="top"/>
          </w:tcPr>
          <w:p>
            <w:r>
              <w:t>Version 2.2 LIA distinction plus IR-01.</w:t>
            </w:r>
          </w:p>
        </w:tc>
        <w:tc>
          <w:tcPr>
            <w:tcW w:type="dxa" w:w="1481"/>
            <w:vAlign w:val="top"/>
          </w:tcPr>
          <w:p>
            <w:r>
              <w:t>Always run both questions: what is legitimate, and what portion of that legitimate power is actually necessary as ordinary standing capability?</w:t>
            </w:r>
          </w:p>
        </w:tc>
      </w:tr>
      <w:tr>
        <w:tc>
          <w:tcPr>
            <w:tcW w:type="dxa" w:w="1481"/>
            <w:vAlign w:val="top"/>
          </w:tcPr>
          <w:p>
            <w:r>
              <w:t>P-50</w:t>
            </w:r>
          </w:p>
        </w:tc>
        <w:tc>
          <w:tcPr>
            <w:tcW w:type="dxa" w:w="1481"/>
            <w:vAlign w:val="top"/>
          </w:tcPr>
          <w:p>
            <w:r>
              <w:t>Capability expansion and contraction</w:t>
            </w:r>
          </w:p>
        </w:tc>
        <w:tc>
          <w:tcPr>
            <w:tcW w:type="dxa" w:w="1481"/>
            <w:vAlign w:val="top"/>
          </w:tcPr>
          <w:p>
            <w:r>
              <w:t>Architectural / institutional</w:t>
            </w:r>
          </w:p>
        </w:tc>
        <w:tc>
          <w:tcPr>
            <w:tcW w:type="dxa" w:w="1481"/>
            <w:vAlign w:val="top"/>
          </w:tcPr>
          <w:p>
            <w:r>
              <w:t>CORE</w:t>
            </w:r>
          </w:p>
        </w:tc>
        <w:tc>
          <w:tcPr>
            <w:tcW w:type="dxa" w:w="1481"/>
            <w:vAlign w:val="top"/>
          </w:tcPr>
          <w:p>
            <w:r>
              <w:t>Standing informational capability should expand when both legitimate authority and functional necessity materially expand through a legally and substantively sufficient transition, and should contract when either the legitimate authority or ordinary necessity contracts.</w:t>
            </w:r>
          </w:p>
        </w:tc>
        <w:tc>
          <w:tcPr>
            <w:tcW w:type="dxa" w:w="1481"/>
            <w:vAlign w:val="top"/>
          </w:tcPr>
          <w:p>
            <w:r>
              <w:t>V1.x state-transition logic; Version 2.2 and IR-01 mature formulation.</w:t>
            </w:r>
          </w:p>
        </w:tc>
        <w:tc>
          <w:tcPr>
            <w:tcW w:type="dxa" w:w="1481"/>
            <w:vAlign w:val="top"/>
          </w:tcPr>
          <w:p>
            <w:r>
              <w:t>Check expiration, learned artifacts, preservation, emergency termination, dormant permissions, and reconstitution requirements.</w:t>
            </w:r>
          </w:p>
        </w:tc>
      </w:tr>
      <w:tr>
        <w:tc>
          <w:tcPr>
            <w:tcW w:type="dxa" w:w="1481"/>
            <w:vAlign w:val="top"/>
          </w:tcPr>
          <w:p>
            <w:r>
              <w:t>P-51</w:t>
            </w:r>
          </w:p>
        </w:tc>
        <w:tc>
          <w:tcPr>
            <w:tcW w:type="dxa" w:w="1481"/>
            <w:vAlign w:val="top"/>
          </w:tcPr>
          <w:p>
            <w:r>
              <w:t>OIA / FC / FCGIAS hierarchy</w:t>
            </w:r>
          </w:p>
        </w:tc>
        <w:tc>
          <w:tcPr>
            <w:tcW w:type="dxa" w:w="1481"/>
            <w:vAlign w:val="top"/>
          </w:tcPr>
          <w:p>
            <w:r>
              <w:t>Methodological / jurisprudential</w:t>
            </w:r>
          </w:p>
        </w:tc>
        <w:tc>
          <w:tcPr>
            <w:tcW w:type="dxa" w:w="1481"/>
            <w:vAlign w:val="top"/>
          </w:tcPr>
          <w:p>
            <w:r>
              <w:t>FOUNDATIONAL</w:t>
            </w:r>
          </w:p>
        </w:tc>
        <w:tc>
          <w:tcPr>
            <w:tcW w:type="dxa" w:w="1481"/>
            <w:vAlign w:val="top"/>
          </w:tcPr>
          <w:p>
            <w:r>
              <w:t>Ordered Informational Authority is the general theory of legitimate allocation and constraint of informational power. Fiduciary Commons is the constitutional and fiduciary governance model applying OIA to governmental information relationships. FCGIAS is the technical and institutional architecture that makes those limits inspectable and enforceable.</w:t>
            </w:r>
          </w:p>
        </w:tc>
        <w:tc>
          <w:tcPr>
            <w:tcW w:type="dxa" w:w="1481"/>
            <w:vAlign w:val="top"/>
          </w:tcPr>
          <w:p>
            <w:r>
              <w:t>Clarified in V2.0-V2.2 and Publication 2.1.</w:t>
            </w:r>
          </w:p>
        </w:tc>
        <w:tc>
          <w:tcPr>
            <w:tcW w:type="dxa" w:w="1481"/>
            <w:vAlign w:val="top"/>
          </w:tcPr>
          <w:p>
            <w:r>
              <w:t>Do not collapse the jurisprudential theory, governance model, and technical standard into one artifact or imply that FCGIAS independently supplies legal authority.</w:t>
            </w:r>
          </w:p>
        </w:tc>
      </w:tr>
    </w:tbl>
    <w:p>
      <w:pPr>
        <w:pStyle w:val="Heading1"/>
      </w:pPr>
      <w:r>
        <w:t>V. Controlling Version 2.2 Relationship</w:t>
      </w:r>
    </w:p>
    <w:p>
      <w:r>
        <w:t>The controlling architectural relation is:</w:t>
      </w:r>
    </w:p>
    <w:p>
      <w:pPr>
        <w:jc w:val="center"/>
      </w:pPr>
      <w:r>
        <w:rPr>
          <w:b/>
        </w:rPr>
        <w:t>Standing Technical Informational Capability ≤ Necessary Standing Informational Capability ≤ Standing Legitimate Informational Authority</w:t>
      </w:r>
    </w:p>
    <w:p>
      <w:r>
        <w:t>Positive Legal Authority is analyzed separately as the competent legal source. It is necessary where applicable but does not by itself establish Legitimate Informational Authority, Necessary Standing Informational Capability, or conformance.</w:t>
      </w:r>
    </w:p>
    <w:p>
      <w:r>
        <w:t>The relation is a normative containment rule, not a claim of mathematical measurability. The operative question is whether ordinary standing capability materially exceeds what is reasonably necessary for the legitimate standing function, and whether that necessary capability remains within the outer boundary of legitimate informational authority.</w:t>
      </w:r>
    </w:p>
    <w:p>
      <w:pPr>
        <w:pStyle w:val="Heading1"/>
      </w:pPr>
      <w:r>
        <w:t>VI. OIA / FC / FCGIAS Hierarchy</w:t>
      </w:r>
    </w:p>
    <w:p>
      <w:r>
        <w:t>Ordered Informational Authority (OIA) is the general theory of legitimate allocation and constraint of informational power.</w:t>
      </w:r>
    </w:p>
    <w:p>
      <w:r>
        <w:t>Fiduciary Commons (FC) is the constitutional and fiduciary governance model that applies OIA to governmental information relationships concerning persons.</w:t>
      </w:r>
    </w:p>
    <w:p>
      <w:r>
        <w:t>The Fiduciary Commons Government Information Architecture Standard (FCGIAS) is the technical and institutional architecture used to make those limits inspectable, testable, procurable, and enforceable when lawfully incorporated. FCGIAS is not itself an independent source of governmental power.</w:t>
      </w:r>
    </w:p>
    <w:p>
      <w:pPr>
        <w:pStyle w:val="Heading1"/>
      </w:pPr>
      <w:r>
        <w:t>VII. Mandatory Workflow for Future Controlled Steps</w:t>
      </w:r>
    </w:p>
    <w:p>
      <w:r>
        <w:t>1. Identify the precise research, drafting, doctrinal, legislative, architectural, or publication question.</w:t>
      </w:r>
    </w:p>
    <w:p>
      <w:r>
        <w:t>2. Run the FC-TL 2.2 preflight and identify every implicated proposition.</w:t>
      </w:r>
    </w:p>
    <w:p>
      <w:r>
        <w:t>3. State the controlling FC proposition before consulting outside frameworks.</w:t>
      </w:r>
    </w:p>
    <w:p>
      <w:r>
        <w:t>4. Verify provenance before making originality, chronology, or centrality claims.</w:t>
      </w:r>
    </w:p>
    <w:p>
      <w:r>
        <w:t>5. Separate Positive Legal Authority from Legitimate Informational Authority.</w:t>
      </w:r>
    </w:p>
    <w:p>
      <w:r>
        <w:t>6. Determine Standing Legitimate Informational Authority, then Necessary Standing Informational Capability, then deployed Standing Technical Informational Capability.</w:t>
      </w:r>
    </w:p>
    <w:p>
      <w:r>
        <w:t>7. Apply Structural Least Power before graduated Informational Justification.</w:t>
      </w:r>
    </w:p>
    <w:p>
      <w:r>
        <w:t>8. Research support and counterauthority separately.</w:t>
      </w:r>
    </w:p>
    <w:p>
      <w:r>
        <w:t>9. Classify without narrowing: existing law, historical inference, FC normative thesis, architecture, reform, or proposed constitutional development.</w:t>
      </w:r>
    </w:p>
    <w:p>
      <w:r>
        <w:t>10. Run functional capability, actor-substitution, Vendor-separation, and federalism tests where applicable.</w:t>
      </w:r>
    </w:p>
    <w:p>
      <w:r>
        <w:t>11. Run the Chatrie trigger where digital surveillance architecture is implicated.</w:t>
      </w:r>
    </w:p>
    <w:p>
      <w:r>
        <w:t>12. Check the active correction register.</w:t>
      </w:r>
    </w:p>
    <w:p>
      <w:r>
        <w:t>13. Produce a drift report identifying any refined, challenged, omitted, or newly implicated proposition.</w:t>
      </w:r>
    </w:p>
    <w:p>
      <w:r>
        <w:t>14. Amend this ledger only through explicit versioning with preserved provenance.</w:t>
      </w:r>
    </w:p>
    <w:p>
      <w:pPr>
        <w:pStyle w:val="Heading1"/>
      </w:pPr>
      <w:r>
        <w:t>VIII. Required End-of-Step Audit Questions</w:t>
      </w:r>
    </w:p>
    <w:p>
      <w:pPr>
        <w:pStyle w:val="ListBullet"/>
      </w:pPr>
      <w:r>
        <w:t>Did the analysis state what FC claims before evaluating it?</w:t>
      </w:r>
    </w:p>
    <w:p>
      <w:pPr>
        <w:pStyle w:val="ListBullet"/>
      </w:pPr>
      <w:r>
        <w:t>Did any conventional legal, privacy, security, or technical framework silently replace an FC proposition?</w:t>
      </w:r>
    </w:p>
    <w:p>
      <w:pPr>
        <w:pStyle w:val="ListBullet"/>
      </w:pPr>
      <w:r>
        <w:t>Was any proposition weakened merely because positive law is less developed?</w:t>
      </w:r>
    </w:p>
    <w:p>
      <w:pPr>
        <w:pStyle w:val="ListBullet"/>
      </w:pPr>
      <w:r>
        <w:t>Were PLA and LIA separately analyzed?</w:t>
      </w:r>
    </w:p>
    <w:p>
      <w:pPr>
        <w:pStyle w:val="ListBullet"/>
      </w:pPr>
      <w:r>
        <w:t>Was authority treated as an outer ceiling rather than a standing-capability specification?</w:t>
      </w:r>
    </w:p>
    <w:p>
      <w:pPr>
        <w:pStyle w:val="ListBullet"/>
      </w:pPr>
      <w:r>
        <w:t>Was NSIC determined before accepting broader ordinary standing capability?</w:t>
      </w:r>
    </w:p>
    <w:p>
      <w:pPr>
        <w:pStyle w:val="ListBullet"/>
      </w:pPr>
      <w:r>
        <w:t>Was Structural Least Power applied before graduated IJ analysis?</w:t>
      </w:r>
    </w:p>
    <w:p>
      <w:pPr>
        <w:pStyle w:val="ListBullet"/>
      </w:pPr>
      <w:r>
        <w:t>Were decentralization and centralization evaluated by effective informational power rather than topology?</w:t>
      </w:r>
    </w:p>
    <w:p>
      <w:pPr>
        <w:pStyle w:val="ListBullet"/>
      </w:pPr>
      <w:r>
        <w:t>Were PIT, Citizen-Originated Purpose, purpose sequestration, Authorized Answer, No Phone Home, and Least Informational Power considered where relevant?</w:t>
      </w:r>
    </w:p>
    <w:p>
      <w:pPr>
        <w:pStyle w:val="ListBullet"/>
      </w:pPr>
      <w:r>
        <w:t>Were Vendor duty, Vendor status, contract, state action, and conformance attribution kept distinct?</w:t>
      </w:r>
    </w:p>
    <w:p>
      <w:pPr>
        <w:pStyle w:val="ListBullet"/>
      </w:pPr>
      <w:r>
        <w:t>Was broader capability tested across APIs, brokers, AI agents, shared services, identity resolution, metadata, and partner entities?</w:t>
      </w:r>
    </w:p>
    <w:p>
      <w:pPr>
        <w:pStyle w:val="ListBullet"/>
      </w:pPr>
      <w:r>
        <w:t>Was provenance checked before novelty or centrality judgment?</w:t>
      </w:r>
    </w:p>
    <w:p>
      <w:pPr>
        <w:pStyle w:val="ListBullet"/>
      </w:pPr>
      <w:r>
        <w:t>Was Chatrie considered where the trigger applies?</w:t>
      </w:r>
    </w:p>
    <w:p>
      <w:pPr>
        <w:pStyle w:val="ListBullet"/>
      </w:pPr>
      <w:r>
        <w:t>Was any new correction or omission discovered that belongs in the register?</w:t>
      </w:r>
    </w:p>
    <w:p>
      <w:pPr>
        <w:pStyle w:val="Heading1"/>
      </w:pPr>
      <w:r>
        <w:t>IX. Version-Control Rule</w:t>
      </w:r>
    </w:p>
    <w:p>
      <w:r>
        <w:t>FC-TL 1.0 remains the frozen historical baseline. FC-TL 2.2 is the active source-of-truth control document for future FC work after the Version 2.2 and IR-01 consolidation. It does not rewrite the historical documents from which the theory developed. Any future amendment must be issued as a new ledger version, identify the affected proposition or safeguard, state the reason for change, and preserve the prior wording for provenance.</w:t>
      </w:r>
    </w:p>
    <w:p>
      <w:pPr>
        <w:pStyle w:val="Heading1"/>
      </w:pPr>
      <w:r>
        <w:t>X. Immediate Controlled Research Status</w:t>
      </w:r>
    </w:p>
    <w:p>
      <w:r>
        <w:t>The next controlled step is the Publication 2.1 Proposition and Authority Matrix update. It should map each material white-paper proposition to this ledger, distinguish current law from FC synthesis and proposed development, identify supporting and counterauthority, and flag any manuscript wording that no longer matches the Version 2.2 controlling proposition.</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