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WP-PAM 0.3</w:t>
        <w:br/>
        <w:t>Version 2.2 Proposition and Authority Matrix</w:t>
      </w:r>
    </w:p>
    <w:p>
      <w:pPr>
        <w:jc w:val="center"/>
      </w:pPr>
      <w:r>
        <w:rPr>
          <w:b/>
        </w:rPr>
        <w:t>Fiduciary Commons White Paper Research Control</w:t>
        <w:br/>
        <w:t>Status: ACTIVE REVISED CONTROL MATRIX | 13 September 2026</w:t>
      </w:r>
    </w:p>
    <w:p>
      <w:r>
        <w:t>WP-PAM 0.3 succeeds WP-PAM 0.2 without rewriting it. It aligns the proposition-and-authority matrix with FC-TL 2.2, FCGIAS Version 2.2, IR-01, and the Version 2.2 Model Act Freeze Candidate trilogy. It also tests the current Publication 2.1 Word-native working master for proposition-level drift. FC-TL 2.2 controls the description of what Fiduciary Commons claims. This matrix classifies support, counterauthority, doctrinal posture, and drafting controls; it does not narrow an FC proposition merely because positive law is less developed.</w:t>
      </w:r>
    </w:p>
    <w:p>
      <w:pPr>
        <w:pStyle w:val="Heading1"/>
      </w:pPr>
      <w:r>
        <w:t>I. Version-Control Disposition</w:t>
      </w:r>
    </w:p>
    <w:p>
      <w:pPr>
        <w:pStyle w:val="ListBullet"/>
      </w:pPr>
      <w:r>
        <w:t>WP-PAM 0.1 remains the frozen research baseline.</w:t>
      </w:r>
    </w:p>
    <w:p>
      <w:pPr>
        <w:pStyle w:val="ListBullet"/>
      </w:pPr>
      <w:r>
        <w:t>WP-PAM 0.2 remains the frozen revised matrix for the Version 2.1 publication stage.</w:t>
      </w:r>
    </w:p>
    <w:p>
      <w:pPr>
        <w:pStyle w:val="ListBullet"/>
      </w:pPr>
      <w:r>
        <w:t>WP-PAM 0.3 is the active proposition-and-authority matrix for Version 2.2 and Publication 2.1 finalization.</w:t>
      </w:r>
    </w:p>
    <w:p>
      <w:pPr>
        <w:pStyle w:val="ListBullet"/>
      </w:pPr>
      <w:r>
        <w:t>FC-TL 2.2 controls proposition text and the mandatory safeguards applied to this matrix.</w:t>
      </w:r>
    </w:p>
    <w:p>
      <w:pPr>
        <w:pStyle w:val="ListBullet"/>
      </w:pPr>
      <w:r>
        <w:t>Source and Footnote Dossier 0.2 remains the frozen citation architecture for the Version 2.1 drafting stage until a new post-2.2 dossier is issued.</w:t>
      </w:r>
    </w:p>
    <w:p>
      <w:pPr>
        <w:pStyle w:val="ListBullet"/>
      </w:pPr>
      <w:r>
        <w:t>Internal FC artifacts establish FC content and provenance. External law and scholarship support, challenge, classify, or contextualize those propositions.</w:t>
      </w:r>
    </w:p>
    <w:p>
      <w:pPr>
        <w:pStyle w:val="Heading1"/>
      </w:pPr>
      <w:r>
        <w:t>II. Classification Key</w:t>
      </w:r>
    </w:p>
    <w:p>
      <w:r>
        <w:t>D1: established or strongly grounded positive law or historical authority. D2: strong interpretive inference from existing authority. D3: Fiduciary Commons synthesis, normative proposition, or architectural principle. D4: proposed constitutional development beyond current holdings. Mixed classifications are used where a proposition contains both established antecedents and an FC synthesis. 'Methodological' identifies internal research or classification rules rather than substantive legal doctrine.</w:t>
      </w:r>
    </w:p>
    <w:p>
      <w:pPr>
        <w:pStyle w:val="Heading1"/>
      </w:pPr>
      <w:r>
        <w:t>III. Version 2.2 Changes from WP-PAM 0.2</w:t>
      </w:r>
    </w:p>
    <w:tbl>
      <w:tblPr>
        <w:tblStyle w:val="TableGrid"/>
        <w:tblW w:type="auto" w:w="0"/>
        <w:jc w:val="center"/>
        <w:tblLook w:firstColumn="1" w:firstRow="1" w:lastColumn="0" w:lastRow="0" w:noHBand="0" w:noVBand="1" w:val="04A0"/>
      </w:tblPr>
      <w:tblGrid>
        <w:gridCol w:w="3552"/>
        <w:gridCol w:w="3552"/>
        <w:gridCol w:w="3552"/>
      </w:tblGrid>
      <w:tr>
        <w:trPr>
          <w:tblHeader w:val="true"/>
          <w:cantSplit/>
        </w:trPr>
        <w:tc>
          <w:tcPr>
            <w:tcW w:type="dxa" w:w="3552"/>
          </w:tcPr>
          <w:p>
            <w:pPr>
              <w:spacing w:after="0" w:before="0"/>
            </w:pPr>
            <w:r>
              <w:rPr>
                <w:sz w:val="16"/>
              </w:rPr>
              <w:t>Change</w:t>
            </w:r>
          </w:p>
        </w:tc>
        <w:tc>
          <w:tcPr>
            <w:tcW w:type="dxa" w:w="3552"/>
          </w:tcPr>
          <w:p>
            <w:pPr>
              <w:spacing w:after="0" w:before="0"/>
            </w:pPr>
            <w:r>
              <w:rPr>
                <w:sz w:val="16"/>
              </w:rPr>
              <w:t>Subject</w:t>
            </w:r>
          </w:p>
        </w:tc>
        <w:tc>
          <w:tcPr>
            <w:tcW w:type="dxa" w:w="3552"/>
          </w:tcPr>
          <w:p>
            <w:pPr>
              <w:spacing w:after="0" w:before="0"/>
            </w:pPr>
            <w:r>
              <w:rPr>
                <w:sz w:val="16"/>
              </w:rPr>
              <w:t>Revision</w:t>
            </w:r>
          </w:p>
        </w:tc>
      </w:tr>
      <w:tr>
        <w:trPr>
          <w:cantSplit/>
        </w:trPr>
        <w:tc>
          <w:tcPr>
            <w:tcW w:type="dxa" w:w="3552"/>
          </w:tcPr>
          <w:p>
            <w:pPr>
              <w:spacing w:after="0" w:before="0"/>
            </w:pPr>
            <w:r>
              <w:rPr>
                <w:sz w:val="16"/>
              </w:rPr>
              <w:t>C05</w:t>
            </w:r>
          </w:p>
        </w:tc>
        <w:tc>
          <w:tcPr>
            <w:tcW w:type="dxa" w:w="3552"/>
          </w:tcPr>
          <w:p>
            <w:pPr>
              <w:spacing w:after="0" w:before="0"/>
            </w:pPr>
            <w:r>
              <w:rPr>
                <w:sz w:val="16"/>
              </w:rPr>
              <w:t>PLA / LIA separation</w:t>
            </w:r>
          </w:p>
        </w:tc>
        <w:tc>
          <w:tcPr>
            <w:tcW w:type="dxa" w:w="3552"/>
          </w:tcPr>
          <w:p>
            <w:pPr>
              <w:spacing w:after="0" w:before="0"/>
            </w:pPr>
            <w:r>
              <w:rPr>
                <w:sz w:val="16"/>
              </w:rPr>
              <w:t>Adds Positive Legal Authority and Legitimate Informational Authority as distinct analytical propositions. Positive authorization is not self-validating for FC conformance.</w:t>
            </w:r>
          </w:p>
        </w:tc>
      </w:tr>
      <w:tr>
        <w:trPr>
          <w:cantSplit/>
        </w:trPr>
        <w:tc>
          <w:tcPr>
            <w:tcW w:type="dxa" w:w="3552"/>
          </w:tcPr>
          <w:p>
            <w:pPr>
              <w:spacing w:after="0" w:before="0"/>
            </w:pPr>
            <w:r>
              <w:rPr>
                <w:sz w:val="16"/>
              </w:rPr>
              <w:t>C06</w:t>
            </w:r>
          </w:p>
        </w:tc>
        <w:tc>
          <w:tcPr>
            <w:tcW w:type="dxa" w:w="3552"/>
          </w:tcPr>
          <w:p>
            <w:pPr>
              <w:spacing w:after="0" w:before="0"/>
            </w:pPr>
            <w:r>
              <w:rPr>
                <w:sz w:val="16"/>
              </w:rPr>
              <w:t>Authority ceiling / NSIC</w:t>
            </w:r>
          </w:p>
        </w:tc>
        <w:tc>
          <w:tcPr>
            <w:tcW w:type="dxa" w:w="3552"/>
          </w:tcPr>
          <w:p>
            <w:pPr>
              <w:spacing w:after="0" w:before="0"/>
            </w:pPr>
            <w:r>
              <w:rPr>
                <w:sz w:val="16"/>
              </w:rPr>
              <w:t>Adds Standing Legitimate Informational Authority as outer ceiling and Necessary Standing Informational Capability as the intermediate necessity layer.</w:t>
            </w:r>
          </w:p>
        </w:tc>
      </w:tr>
      <w:tr>
        <w:trPr>
          <w:cantSplit/>
        </w:trPr>
        <w:tc>
          <w:tcPr>
            <w:tcW w:type="dxa" w:w="3552"/>
          </w:tcPr>
          <w:p>
            <w:pPr>
              <w:spacing w:after="0" w:before="0"/>
            </w:pPr>
            <w:r>
              <w:rPr>
                <w:sz w:val="16"/>
              </w:rPr>
              <w:t>C07</w:t>
            </w:r>
          </w:p>
        </w:tc>
        <w:tc>
          <w:tcPr>
            <w:tcW w:type="dxa" w:w="3552"/>
          </w:tcPr>
          <w:p>
            <w:pPr>
              <w:spacing w:after="0" w:before="0"/>
            </w:pPr>
            <w:r>
              <w:rPr>
                <w:sz w:val="16"/>
              </w:rPr>
              <w:t>Structural Least Power</w:t>
            </w:r>
          </w:p>
        </w:tc>
        <w:tc>
          <w:tcPr>
            <w:tcW w:type="dxa" w:w="3552"/>
          </w:tcPr>
          <w:p>
            <w:pPr>
              <w:spacing w:after="0" w:before="0"/>
            </w:pPr>
            <w:r>
              <w:rPr>
                <w:sz w:val="16"/>
              </w:rPr>
              <w:t>Adds a threshold requirement to test materially less informationally powerful architectures before graduated Informational Justification.</w:t>
            </w:r>
          </w:p>
        </w:tc>
      </w:tr>
      <w:tr>
        <w:trPr>
          <w:cantSplit/>
        </w:trPr>
        <w:tc>
          <w:tcPr>
            <w:tcW w:type="dxa" w:w="3552"/>
          </w:tcPr>
          <w:p>
            <w:pPr>
              <w:spacing w:after="0" w:before="0"/>
            </w:pPr>
            <w:r>
              <w:rPr>
                <w:sz w:val="16"/>
              </w:rPr>
              <w:t>C08</w:t>
            </w:r>
          </w:p>
        </w:tc>
        <w:tc>
          <w:tcPr>
            <w:tcW w:type="dxa" w:w="3552"/>
          </w:tcPr>
          <w:p>
            <w:pPr>
              <w:spacing w:after="0" w:before="0"/>
            </w:pPr>
            <w:r>
              <w:rPr>
                <w:sz w:val="16"/>
              </w:rPr>
              <w:t>Purpose Divergence system</w:t>
            </w:r>
          </w:p>
        </w:tc>
        <w:tc>
          <w:tcPr>
            <w:tcW w:type="dxa" w:w="3552"/>
          </w:tcPr>
          <w:p>
            <w:pPr>
              <w:spacing w:after="0" w:before="0"/>
            </w:pPr>
            <w:r>
              <w:rPr>
                <w:sz w:val="16"/>
              </w:rPr>
              <w:t>Adds Citizen-Originated Purpose, Purpose Divergence, IJ-1 through IJ-4, and Anti-Abstraction.</w:t>
            </w:r>
          </w:p>
        </w:tc>
      </w:tr>
      <w:tr>
        <w:trPr>
          <w:cantSplit/>
        </w:trPr>
        <w:tc>
          <w:tcPr>
            <w:tcW w:type="dxa" w:w="3552"/>
          </w:tcPr>
          <w:p>
            <w:pPr>
              <w:spacing w:after="0" w:before="0"/>
            </w:pPr>
            <w:r>
              <w:rPr>
                <w:sz w:val="16"/>
              </w:rPr>
              <w:t>C09</w:t>
            </w:r>
          </w:p>
        </w:tc>
        <w:tc>
          <w:tcPr>
            <w:tcW w:type="dxa" w:w="3552"/>
          </w:tcPr>
          <w:p>
            <w:pPr>
              <w:spacing w:after="0" w:before="0"/>
            </w:pPr>
            <w:r>
              <w:rPr>
                <w:sz w:val="16"/>
              </w:rPr>
              <w:t>Conformance non-usurpation</w:t>
            </w:r>
          </w:p>
        </w:tc>
        <w:tc>
          <w:tcPr>
            <w:tcW w:type="dxa" w:w="3552"/>
          </w:tcPr>
          <w:p>
            <w:pPr>
              <w:spacing w:after="0" w:before="0"/>
            </w:pPr>
            <w:r>
              <w:rPr>
                <w:sz w:val="16"/>
              </w:rPr>
              <w:t>Makes explicit that FCGIAS, conformance tests, audits, and procurement standards do not independently create governmental informational authority.</w:t>
            </w:r>
          </w:p>
        </w:tc>
      </w:tr>
      <w:tr>
        <w:trPr>
          <w:cantSplit/>
        </w:trPr>
        <w:tc>
          <w:tcPr>
            <w:tcW w:type="dxa" w:w="3552"/>
          </w:tcPr>
          <w:p>
            <w:pPr>
              <w:spacing w:after="0" w:before="0"/>
            </w:pPr>
            <w:r>
              <w:rPr>
                <w:sz w:val="16"/>
              </w:rPr>
              <w:t>C10</w:t>
            </w:r>
          </w:p>
        </w:tc>
        <w:tc>
          <w:tcPr>
            <w:tcW w:type="dxa" w:w="3552"/>
          </w:tcPr>
          <w:p>
            <w:pPr>
              <w:spacing w:after="0" w:before="0"/>
            </w:pPr>
            <w:r>
              <w:rPr>
                <w:sz w:val="16"/>
              </w:rPr>
              <w:t>Vendor-status clarification</w:t>
            </w:r>
          </w:p>
        </w:tc>
        <w:tc>
          <w:tcPr>
            <w:tcW w:type="dxa" w:w="3552"/>
          </w:tcPr>
          <w:p>
            <w:pPr>
              <w:spacing w:after="0" w:before="0"/>
            </w:pPr>
            <w:r>
              <w:rPr>
                <w:sz w:val="16"/>
              </w:rPr>
              <w:t>Conformance attribution remains separate from Vendor fiduciary status and constitutional state action.</w:t>
            </w:r>
          </w:p>
        </w:tc>
      </w:tr>
      <w:tr>
        <w:trPr>
          <w:cantSplit/>
        </w:trPr>
        <w:tc>
          <w:tcPr>
            <w:tcW w:type="dxa" w:w="3552"/>
          </w:tcPr>
          <w:p>
            <w:pPr>
              <w:spacing w:after="0" w:before="0"/>
            </w:pPr>
            <w:r>
              <w:rPr>
                <w:sz w:val="16"/>
              </w:rPr>
              <w:t>C11</w:t>
            </w:r>
          </w:p>
        </w:tc>
        <w:tc>
          <w:tcPr>
            <w:tcW w:type="dxa" w:w="3552"/>
          </w:tcPr>
          <w:p>
            <w:pPr>
              <w:spacing w:after="0" w:before="0"/>
            </w:pPr>
            <w:r>
              <w:rPr>
                <w:sz w:val="16"/>
              </w:rPr>
              <w:t>No Phone Home lineage</w:t>
            </w:r>
          </w:p>
        </w:tc>
        <w:tc>
          <w:tcPr>
            <w:tcW w:type="dxa" w:w="3552"/>
          </w:tcPr>
          <w:p>
            <w:pPr>
              <w:spacing w:after="0" w:before="0"/>
            </w:pPr>
            <w:r>
              <w:rPr>
                <w:sz w:val="16"/>
              </w:rPr>
              <w:t>Classifies No Phone Home as a deep 2023-2024 antecedent and a canonical Structural Least-Power example.</w:t>
            </w:r>
          </w:p>
        </w:tc>
      </w:tr>
      <w:tr>
        <w:trPr>
          <w:cantSplit/>
        </w:trPr>
        <w:tc>
          <w:tcPr>
            <w:tcW w:type="dxa" w:w="3552"/>
          </w:tcPr>
          <w:p>
            <w:pPr>
              <w:spacing w:after="0" w:before="0"/>
            </w:pPr>
            <w:r>
              <w:rPr>
                <w:sz w:val="16"/>
              </w:rPr>
              <w:t>C12</w:t>
            </w:r>
          </w:p>
        </w:tc>
        <w:tc>
          <w:tcPr>
            <w:tcW w:type="dxa" w:w="3552"/>
          </w:tcPr>
          <w:p>
            <w:pPr>
              <w:spacing w:after="0" w:before="0"/>
            </w:pPr>
            <w:r>
              <w:rPr>
                <w:sz w:val="16"/>
              </w:rPr>
              <w:t>OIA / FC / FCGIAS hierarchy</w:t>
            </w:r>
          </w:p>
        </w:tc>
        <w:tc>
          <w:tcPr>
            <w:tcW w:type="dxa" w:w="3552"/>
          </w:tcPr>
          <w:p>
            <w:pPr>
              <w:spacing w:after="0" w:before="0"/>
            </w:pPr>
            <w:r>
              <w:rPr>
                <w:sz w:val="16"/>
              </w:rPr>
              <w:t>Formalizes the distinction among the general theory, governance model, and technical/institutional standard.</w:t>
            </w:r>
          </w:p>
        </w:tc>
      </w:tr>
    </w:tbl>
    <w:p>
      <w:pPr>
        <w:pStyle w:val="Heading1"/>
      </w:pPr>
      <w:r>
        <w:t>IV. WP-PAM 0.3 Proposition and Authority Matrix</w:t>
      </w:r>
    </w:p>
    <w:tbl>
      <w:tblPr>
        <w:tblStyle w:val="TableGrid"/>
        <w:tblW w:type="auto" w:w="0"/>
        <w:jc w:val="center"/>
        <w:tblLook w:firstColumn="1" w:firstRow="1" w:lastColumn="0" w:lastRow="0" w:noHBand="0" w:noVBand="1" w:val="04A0"/>
      </w:tblPr>
      <w:tblGrid>
        <w:gridCol w:w="1184"/>
        <w:gridCol w:w="1184"/>
        <w:gridCol w:w="1184"/>
        <w:gridCol w:w="1184"/>
        <w:gridCol w:w="1184"/>
        <w:gridCol w:w="1184"/>
        <w:gridCol w:w="1184"/>
        <w:gridCol w:w="1184"/>
        <w:gridCol w:w="1184"/>
      </w:tblGrid>
      <w:tr>
        <w:trPr>
          <w:tblHeader w:val="true"/>
          <w:cantSplit/>
        </w:trPr>
        <w:tc>
          <w:tcPr>
            <w:tcW w:type="dxa" w:w="1184"/>
          </w:tcPr>
          <w:p>
            <w:pPr>
              <w:spacing w:after="0" w:before="0"/>
            </w:pPr>
            <w:r>
              <w:rPr>
                <w:sz w:val="15"/>
              </w:rPr>
              <w:t>ID</w:t>
            </w:r>
          </w:p>
        </w:tc>
        <w:tc>
          <w:tcPr>
            <w:tcW w:type="dxa" w:w="1184"/>
          </w:tcPr>
          <w:p>
            <w:pPr>
              <w:spacing w:after="0" w:before="0"/>
            </w:pPr>
            <w:r>
              <w:rPr>
                <w:sz w:val="15"/>
              </w:rPr>
              <w:t>Proposition</w:t>
            </w:r>
          </w:p>
        </w:tc>
        <w:tc>
          <w:tcPr>
            <w:tcW w:type="dxa" w:w="1184"/>
          </w:tcPr>
          <w:p>
            <w:pPr>
              <w:spacing w:after="0" w:before="0"/>
            </w:pPr>
            <w:r>
              <w:rPr>
                <w:sz w:val="15"/>
              </w:rPr>
              <w:t>Controlling FC Claim</w:t>
            </w:r>
          </w:p>
        </w:tc>
        <w:tc>
          <w:tcPr>
            <w:tcW w:type="dxa" w:w="1184"/>
          </w:tcPr>
          <w:p>
            <w:pPr>
              <w:spacing w:after="0" w:before="0"/>
            </w:pPr>
            <w:r>
              <w:rPr>
                <w:sz w:val="15"/>
              </w:rPr>
              <w:t>Primary / Closest Authority</w:t>
            </w:r>
          </w:p>
        </w:tc>
        <w:tc>
          <w:tcPr>
            <w:tcW w:type="dxa" w:w="1184"/>
          </w:tcPr>
          <w:p>
            <w:pPr>
              <w:spacing w:after="0" w:before="0"/>
            </w:pPr>
            <w:r>
              <w:rPr>
                <w:sz w:val="15"/>
              </w:rPr>
              <w:t>Counterauthority / Limit</w:t>
            </w:r>
          </w:p>
        </w:tc>
        <w:tc>
          <w:tcPr>
            <w:tcW w:type="dxa" w:w="1184"/>
          </w:tcPr>
          <w:p>
            <w:pPr>
              <w:spacing w:after="0" w:before="0"/>
            </w:pPr>
            <w:r>
              <w:rPr>
                <w:sz w:val="15"/>
              </w:rPr>
              <w:t>Class</w:t>
            </w:r>
          </w:p>
        </w:tc>
        <w:tc>
          <w:tcPr>
            <w:tcW w:type="dxa" w:w="1184"/>
          </w:tcPr>
          <w:p>
            <w:pPr>
              <w:spacing w:after="0" w:before="0"/>
            </w:pPr>
            <w:r>
              <w:rPr>
                <w:sz w:val="15"/>
              </w:rPr>
              <w:t>0.3 Disposition</w:t>
            </w:r>
          </w:p>
        </w:tc>
        <w:tc>
          <w:tcPr>
            <w:tcW w:type="dxa" w:w="1184"/>
          </w:tcPr>
          <w:p>
            <w:pPr>
              <w:spacing w:after="0" w:before="0"/>
            </w:pPr>
            <w:r>
              <w:rPr>
                <w:sz w:val="15"/>
              </w:rPr>
              <w:t>Publication 2.1 Alignment</w:t>
            </w:r>
          </w:p>
        </w:tc>
        <w:tc>
          <w:tcPr>
            <w:tcW w:type="dxa" w:w="1184"/>
          </w:tcPr>
          <w:p>
            <w:pPr>
              <w:spacing w:after="0" w:before="0"/>
            </w:pPr>
            <w:r>
              <w:rPr>
                <w:sz w:val="15"/>
              </w:rPr>
              <w:t>Drafting Control</w:t>
            </w:r>
          </w:p>
        </w:tc>
      </w:tr>
      <w:tr>
        <w:trPr>
          <w:cantSplit/>
        </w:trPr>
        <w:tc>
          <w:tcPr>
            <w:tcW w:type="dxa" w:w="1184"/>
            <w:vAlign w:val="top"/>
          </w:tcPr>
          <w:p>
            <w:pPr>
              <w:spacing w:after="0" w:before="0"/>
            </w:pPr>
            <w:r>
              <w:rPr>
                <w:sz w:val="15"/>
              </w:rPr>
              <w:t>P-01</w:t>
            </w:r>
          </w:p>
        </w:tc>
        <w:tc>
          <w:tcPr>
            <w:tcW w:type="dxa" w:w="1184"/>
            <w:vAlign w:val="top"/>
          </w:tcPr>
          <w:p>
            <w:pPr>
              <w:spacing w:after="0" w:before="0"/>
            </w:pPr>
            <w:r>
              <w:rPr>
                <w:sz w:val="15"/>
              </w:rPr>
              <w:t>Facts and ownership</w:t>
            </w:r>
          </w:p>
        </w:tc>
        <w:tc>
          <w:tcPr>
            <w:tcW w:type="dxa" w:w="1184"/>
            <w:vAlign w:val="top"/>
          </w:tcPr>
          <w:p>
            <w:pPr>
              <w:spacing w:after="0" w:before="0"/>
            </w:pPr>
            <w:r>
              <w:rPr>
                <w:sz w:val="15"/>
              </w:rPr>
              <w:t>Underlying facts concerning persons should not be governed primarily as objects of exclusive informational dominion. Distinguish facts from records, compilations, trade secrets, databases, and other informational artifacts.</w:t>
            </w:r>
          </w:p>
        </w:tc>
        <w:tc>
          <w:tcPr>
            <w:tcW w:type="dxa" w:w="1184"/>
            <w:vAlign w:val="top"/>
          </w:tcPr>
          <w:p>
            <w:pPr>
              <w:spacing w:after="0" w:before="0"/>
            </w:pPr>
            <w:r>
              <w:rPr>
                <w:sz w:val="15"/>
              </w:rPr>
              <w:t>Feist; INS v. AP; Ruckelshaus; Cofone</w:t>
            </w:r>
          </w:p>
        </w:tc>
        <w:tc>
          <w:tcPr>
            <w:tcW w:type="dxa" w:w="1184"/>
            <w:vAlign w:val="top"/>
          </w:tcPr>
          <w:p>
            <w:pPr>
              <w:spacing w:after="0" w:before="0"/>
            </w:pPr>
            <w:r>
              <w:rPr>
                <w:sz w:val="15"/>
              </w:rPr>
              <w:t>Property-law counterexamples show some informational artifacts can be property.</w:t>
            </w:r>
          </w:p>
        </w:tc>
        <w:tc>
          <w:tcPr>
            <w:tcW w:type="dxa" w:w="1184"/>
            <w:vAlign w:val="top"/>
          </w:tcPr>
          <w:p>
            <w:pPr>
              <w:spacing w:after="0" w:before="0"/>
            </w:pPr>
            <w:r>
              <w:rPr>
                <w:sz w:val="15"/>
              </w:rPr>
              <w:t>D3 with D1 analogies</w:t>
            </w:r>
          </w:p>
        </w:tc>
        <w:tc>
          <w:tcPr>
            <w:tcW w:type="dxa" w:w="1184"/>
            <w:vAlign w:val="top"/>
          </w:tcPr>
          <w:p>
            <w:pPr>
              <w:spacing w:after="0" w:before="0"/>
            </w:pPr>
            <w:r>
              <w:rPr>
                <w:sz w:val="15"/>
              </w:rPr>
              <w:t>Retain, refine</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Do not say all information is legally nonproperty.</w:t>
            </w:r>
          </w:p>
        </w:tc>
      </w:tr>
      <w:tr>
        <w:trPr>
          <w:cantSplit/>
        </w:trPr>
        <w:tc>
          <w:tcPr>
            <w:tcW w:type="dxa" w:w="1184"/>
            <w:vAlign w:val="top"/>
          </w:tcPr>
          <w:p>
            <w:pPr>
              <w:spacing w:after="0" w:before="0"/>
            </w:pPr>
            <w:r>
              <w:rPr>
                <w:sz w:val="15"/>
              </w:rPr>
              <w:t>P-02</w:t>
            </w:r>
          </w:p>
        </w:tc>
        <w:tc>
          <w:tcPr>
            <w:tcW w:type="dxa" w:w="1184"/>
            <w:vAlign w:val="top"/>
          </w:tcPr>
          <w:p>
            <w:pPr>
              <w:spacing w:after="0" w:before="0"/>
            </w:pPr>
            <w:r>
              <w:rPr>
                <w:sz w:val="15"/>
              </w:rPr>
              <w:t>Fiduciary Commons</w:t>
            </w:r>
          </w:p>
        </w:tc>
        <w:tc>
          <w:tcPr>
            <w:tcW w:type="dxa" w:w="1184"/>
            <w:vAlign w:val="top"/>
          </w:tcPr>
          <w:p>
            <w:pPr>
              <w:spacing w:after="0" w:before="0"/>
            </w:pPr>
            <w:r>
              <w:rPr>
                <w:sz w:val="15"/>
              </w:rPr>
              <w:t>Facts concerning persons form an unownable commons in which lawful authority is relational, entrusted, purpose-bound, and differentiated rather than proprietary dominion.</w:t>
            </w:r>
          </w:p>
        </w:tc>
        <w:tc>
          <w:tcPr>
            <w:tcW w:type="dxa" w:w="1184"/>
            <w:vAlign w:val="top"/>
          </w:tcPr>
          <w:p>
            <w:pPr>
              <w:spacing w:after="0" w:before="0"/>
            </w:pPr>
            <w:r>
              <w:rPr>
                <w:sz w:val="15"/>
              </w:rPr>
              <w:t>FC pre-formal writings; fiduciary/privacy scholarship</w:t>
            </w:r>
          </w:p>
        </w:tc>
        <w:tc>
          <w:tcPr>
            <w:tcW w:type="dxa" w:w="1184"/>
            <w:vAlign w:val="top"/>
          </w:tcPr>
          <w:p>
            <w:pPr>
              <w:spacing w:after="0" w:before="0"/>
            </w:pPr>
            <w:r>
              <w:rPr>
                <w:sz w:val="15"/>
              </w:rPr>
              <w:t>Property and control models; consent-based governance.</w:t>
            </w:r>
          </w:p>
        </w:tc>
        <w:tc>
          <w:tcPr>
            <w:tcW w:type="dxa" w:w="1184"/>
            <w:vAlign w:val="top"/>
          </w:tcPr>
          <w:p>
            <w:pPr>
              <w:spacing w:after="0" w:before="0"/>
            </w:pPr>
            <w:r>
              <w:rPr>
                <w:sz w:val="15"/>
              </w:rPr>
              <w:t>D3</w:t>
            </w:r>
          </w:p>
        </w:tc>
        <w:tc>
          <w:tcPr>
            <w:tcW w:type="dxa" w:w="1184"/>
            <w:vAlign w:val="top"/>
          </w:tcPr>
          <w:p>
            <w:pPr>
              <w:spacing w:after="0" w:before="0"/>
            </w:pPr>
            <w:r>
              <w:rPr>
                <w:sz w:val="15"/>
              </w:rPr>
              <w:t>Retain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Core jurisprudential proposition.</w:t>
            </w:r>
          </w:p>
        </w:tc>
      </w:tr>
      <w:tr>
        <w:trPr>
          <w:cantSplit/>
        </w:trPr>
        <w:tc>
          <w:tcPr>
            <w:tcW w:type="dxa" w:w="1184"/>
            <w:vAlign w:val="top"/>
          </w:tcPr>
          <w:p>
            <w:pPr>
              <w:spacing w:after="0" w:before="0"/>
            </w:pPr>
            <w:r>
              <w:rPr>
                <w:sz w:val="15"/>
              </w:rPr>
              <w:t>P-03</w:t>
            </w:r>
          </w:p>
        </w:tc>
        <w:tc>
          <w:tcPr>
            <w:tcW w:type="dxa" w:w="1184"/>
            <w:vAlign w:val="top"/>
          </w:tcPr>
          <w:p>
            <w:pPr>
              <w:spacing w:after="0" w:before="0"/>
            </w:pPr>
            <w:r>
              <w:rPr>
                <w:sz w:val="15"/>
              </w:rPr>
              <w:t>Individual primacy / PIT</w:t>
            </w:r>
          </w:p>
        </w:tc>
        <w:tc>
          <w:tcPr>
            <w:tcW w:type="dxa" w:w="1184"/>
            <w:vAlign w:val="top"/>
          </w:tcPr>
          <w:p>
            <w:pPr>
              <w:spacing w:after="0" w:before="0"/>
            </w:pPr>
            <w:r>
              <w:rPr>
                <w:sz w:val="15"/>
              </w:rPr>
              <w:t>The person occupies the primary normative position concerning information generated by, about, or inferable about that person. The PIT is the primary locus of informational authority where the function permits.</w:t>
            </w:r>
          </w:p>
        </w:tc>
        <w:tc>
          <w:tcPr>
            <w:tcW w:type="dxa" w:w="1184"/>
            <w:vAlign w:val="top"/>
          </w:tcPr>
          <w:p>
            <w:pPr>
              <w:spacing w:after="0" w:before="0"/>
            </w:pPr>
            <w:r>
              <w:rPr>
                <w:sz w:val="15"/>
              </w:rPr>
              <w:t>2023-24 Verifiable Government lineage; FC formalization</w:t>
            </w:r>
          </w:p>
        </w:tc>
        <w:tc>
          <w:tcPr>
            <w:tcW w:type="dxa" w:w="1184"/>
            <w:vAlign w:val="top"/>
          </w:tcPr>
          <w:p>
            <w:pPr>
              <w:spacing w:after="0" w:before="0"/>
            </w:pPr>
            <w:r>
              <w:rPr>
                <w:sz w:val="15"/>
              </w:rPr>
              <w:t>Institutional recordkeeping duties and competing public interests.</w:t>
            </w:r>
          </w:p>
        </w:tc>
        <w:tc>
          <w:tcPr>
            <w:tcW w:type="dxa" w:w="1184"/>
            <w:vAlign w:val="top"/>
          </w:tcPr>
          <w:p>
            <w:pPr>
              <w:spacing w:after="0" w:before="0"/>
            </w:pPr>
            <w:r>
              <w:rPr>
                <w:sz w:val="15"/>
              </w:rPr>
              <w:t>D3</w:t>
            </w:r>
          </w:p>
        </w:tc>
        <w:tc>
          <w:tcPr>
            <w:tcW w:type="dxa" w:w="1184"/>
            <w:vAlign w:val="top"/>
          </w:tcPr>
          <w:p>
            <w:pPr>
              <w:spacing w:after="0" w:before="0"/>
            </w:pPr>
            <w:r>
              <w:rPr>
                <w:sz w:val="15"/>
              </w:rPr>
              <w:t>Elevate</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Do not reduce to consent or consumer control.</w:t>
            </w:r>
          </w:p>
        </w:tc>
      </w:tr>
      <w:tr>
        <w:trPr>
          <w:cantSplit/>
        </w:trPr>
        <w:tc>
          <w:tcPr>
            <w:tcW w:type="dxa" w:w="1184"/>
            <w:vAlign w:val="top"/>
          </w:tcPr>
          <w:p>
            <w:pPr>
              <w:spacing w:after="0" w:before="0"/>
            </w:pPr>
            <w:r>
              <w:rPr>
                <w:sz w:val="15"/>
              </w:rPr>
              <w:t>P-04</w:t>
            </w:r>
          </w:p>
        </w:tc>
        <w:tc>
          <w:tcPr>
            <w:tcW w:type="dxa" w:w="1184"/>
            <w:vAlign w:val="top"/>
          </w:tcPr>
          <w:p>
            <w:pPr>
              <w:spacing w:after="0" w:before="0"/>
            </w:pPr>
            <w:r>
              <w:rPr>
                <w:sz w:val="15"/>
              </w:rPr>
              <w:t>AIT / delegated authority</w:t>
            </w:r>
          </w:p>
        </w:tc>
        <w:tc>
          <w:tcPr>
            <w:tcW w:type="dxa" w:w="1184"/>
            <w:vAlign w:val="top"/>
          </w:tcPr>
          <w:p>
            <w:pPr>
              <w:spacing w:after="0" w:before="0"/>
            </w:pPr>
            <w:r>
              <w:rPr>
                <w:sz w:val="15"/>
              </w:rPr>
              <w:t>Delegation, guardianship, and representation should be explicit, bounded, and machine-verifiable where appropriate, without creating universal third-party informational authority.</w:t>
            </w:r>
          </w:p>
        </w:tc>
        <w:tc>
          <w:tcPr>
            <w:tcW w:type="dxa" w:w="1184"/>
            <w:vAlign w:val="top"/>
          </w:tcPr>
          <w:p>
            <w:pPr>
              <w:spacing w:after="0" w:before="0"/>
            </w:pPr>
            <w:r>
              <w:rPr>
                <w:sz w:val="15"/>
              </w:rPr>
              <w:t>Ruff antecedents; V1.x AIT formalization</w:t>
            </w:r>
          </w:p>
        </w:tc>
        <w:tc>
          <w:tcPr>
            <w:tcW w:type="dxa" w:w="1184"/>
            <w:vAlign w:val="top"/>
          </w:tcPr>
          <w:p>
            <w:pPr>
              <w:spacing w:after="0" w:before="0"/>
            </w:pPr>
            <w:r>
              <w:rPr>
                <w:sz w:val="15"/>
              </w:rPr>
              <w:t>Administrative practicality; emergency and incapacity cases.</w:t>
            </w:r>
          </w:p>
        </w:tc>
        <w:tc>
          <w:tcPr>
            <w:tcW w:type="dxa" w:w="1184"/>
            <w:vAlign w:val="top"/>
          </w:tcPr>
          <w:p>
            <w:pPr>
              <w:spacing w:after="0" w:before="0"/>
            </w:pPr>
            <w:r>
              <w:rPr>
                <w:sz w:val="15"/>
              </w:rPr>
              <w:t>D3</w:t>
            </w:r>
          </w:p>
        </w:tc>
        <w:tc>
          <w:tcPr>
            <w:tcW w:type="dxa" w:w="1184"/>
            <w:vAlign w:val="top"/>
          </w:tcPr>
          <w:p>
            <w:pPr>
              <w:spacing w:after="0" w:before="0"/>
            </w:pPr>
            <w:r>
              <w:rPr>
                <w:sz w:val="15"/>
              </w:rPr>
              <w:t>Retain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Machine-verifiable where appropriate, not mandatory in every setting.</w:t>
            </w:r>
          </w:p>
        </w:tc>
      </w:tr>
      <w:tr>
        <w:trPr>
          <w:cantSplit/>
        </w:trPr>
        <w:tc>
          <w:tcPr>
            <w:tcW w:type="dxa" w:w="1184"/>
            <w:vAlign w:val="top"/>
          </w:tcPr>
          <w:p>
            <w:pPr>
              <w:spacing w:after="0" w:before="0"/>
            </w:pPr>
            <w:r>
              <w:rPr>
                <w:sz w:val="15"/>
              </w:rPr>
              <w:t>P-05A</w:t>
            </w:r>
          </w:p>
        </w:tc>
        <w:tc>
          <w:tcPr>
            <w:tcW w:type="dxa" w:w="1184"/>
            <w:vAlign w:val="top"/>
          </w:tcPr>
          <w:p>
            <w:pPr>
              <w:spacing w:after="0" w:before="0"/>
            </w:pPr>
            <w:r>
              <w:rPr>
                <w:sz w:val="15"/>
              </w:rPr>
              <w:t>Founding-era fiduciary foundation</w:t>
            </w:r>
          </w:p>
        </w:tc>
        <w:tc>
          <w:tcPr>
            <w:tcW w:type="dxa" w:w="1184"/>
            <w:vAlign w:val="top"/>
          </w:tcPr>
          <w:p>
            <w:pPr>
              <w:spacing w:after="0" w:before="0"/>
            </w:pPr>
            <w:r>
              <w:rPr>
                <w:sz w:val="15"/>
              </w:rPr>
              <w:t>American governmental authority has substantial founding-era foundations in concepts of public trust, agency, delegation, faithful exercise, and authority granted for public purposes.</w:t>
            </w:r>
          </w:p>
        </w:tc>
        <w:tc>
          <w:tcPr>
            <w:tcW w:type="dxa" w:w="1184"/>
            <w:vAlign w:val="top"/>
          </w:tcPr>
          <w:p>
            <w:pPr>
              <w:spacing w:after="0" w:before="0"/>
            </w:pPr>
            <w:r>
              <w:rPr>
                <w:sz w:val="15"/>
              </w:rPr>
              <w:t>Iredell; Federalist 57, 65; Madison; Maryland Declaration of Rights; Natelson; Lawson &amp; Seidman</w:t>
            </w:r>
          </w:p>
        </w:tc>
        <w:tc>
          <w:tcPr>
            <w:tcW w:type="dxa" w:w="1184"/>
            <w:vAlign w:val="top"/>
          </w:tcPr>
          <w:p>
            <w:pPr>
              <w:spacing w:after="0" w:before="0"/>
            </w:pPr>
            <w:r>
              <w:rPr>
                <w:sz w:val="15"/>
              </w:rPr>
              <w:t>Primus; Mikhail; Bray &amp; Miller; Davis; Leib &amp; Galoob</w:t>
            </w:r>
          </w:p>
        </w:tc>
        <w:tc>
          <w:tcPr>
            <w:tcW w:type="dxa" w:w="1184"/>
            <w:vAlign w:val="top"/>
          </w:tcPr>
          <w:p>
            <w:pPr>
              <w:spacing w:after="0" w:before="0"/>
            </w:pPr>
            <w:r>
              <w:rPr>
                <w:sz w:val="15"/>
              </w:rPr>
              <w:t>D1 historical evidence / D2 interpretation</w:t>
            </w:r>
          </w:p>
        </w:tc>
        <w:tc>
          <w:tcPr>
            <w:tcW w:type="dxa" w:w="1184"/>
            <w:vAlign w:val="top"/>
          </w:tcPr>
          <w:p>
            <w:pPr>
              <w:spacing w:after="0" w:before="0"/>
            </w:pPr>
            <w:r>
              <w:rPr>
                <w:sz w:val="15"/>
              </w:rPr>
              <w:t>Elevate</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Do not require literal private-law power-of-attorney classification.</w:t>
            </w:r>
          </w:p>
        </w:tc>
      </w:tr>
      <w:tr>
        <w:trPr>
          <w:cantSplit/>
        </w:trPr>
        <w:tc>
          <w:tcPr>
            <w:tcW w:type="dxa" w:w="1184"/>
            <w:vAlign w:val="top"/>
          </w:tcPr>
          <w:p>
            <w:pPr>
              <w:spacing w:after="0" w:before="0"/>
            </w:pPr>
            <w:r>
              <w:rPr>
                <w:sz w:val="15"/>
              </w:rPr>
              <w:t>P-05B</w:t>
            </w:r>
          </w:p>
        </w:tc>
        <w:tc>
          <w:tcPr>
            <w:tcW w:type="dxa" w:w="1184"/>
            <w:vAlign w:val="top"/>
          </w:tcPr>
          <w:p>
            <w:pPr>
              <w:spacing w:after="0" w:before="0"/>
            </w:pPr>
            <w:r>
              <w:rPr>
                <w:sz w:val="15"/>
              </w:rPr>
              <w:t>Fiduciary public authority</w:t>
            </w:r>
          </w:p>
        </w:tc>
        <w:tc>
          <w:tcPr>
            <w:tcW w:type="dxa" w:w="1184"/>
            <w:vAlign w:val="top"/>
          </w:tcPr>
          <w:p>
            <w:pPr>
              <w:spacing w:after="0" w:before="0"/>
            </w:pPr>
            <w:r>
              <w:rPr>
                <w:sz w:val="15"/>
              </w:rPr>
              <w:t>Fiduciary obligation is implicit in legitimate delegated public authority and is not merely an optional ethical overlay.</w:t>
            </w:r>
          </w:p>
        </w:tc>
        <w:tc>
          <w:tcPr>
            <w:tcW w:type="dxa" w:w="1184"/>
            <w:vAlign w:val="top"/>
          </w:tcPr>
          <w:p>
            <w:pPr>
              <w:spacing w:after="0" w:before="0"/>
            </w:pPr>
            <w:r>
              <w:rPr>
                <w:sz w:val="15"/>
              </w:rPr>
              <w:t>P-05A authorities; public fiduciary scholarship</w:t>
            </w:r>
          </w:p>
        </w:tc>
        <w:tc>
          <w:tcPr>
            <w:tcW w:type="dxa" w:w="1184"/>
            <w:vAlign w:val="top"/>
          </w:tcPr>
          <w:p>
            <w:pPr>
              <w:spacing w:after="0" w:before="0"/>
            </w:pPr>
            <w:r>
              <w:rPr>
                <w:sz w:val="15"/>
              </w:rPr>
              <w:t>Modern doctrine generally lacks a universal freestanding government-to-citizen fiduciary cause of action.</w:t>
            </w:r>
          </w:p>
        </w:tc>
        <w:tc>
          <w:tcPr>
            <w:tcW w:type="dxa" w:w="1184"/>
            <w:vAlign w:val="top"/>
          </w:tcPr>
          <w:p>
            <w:pPr>
              <w:spacing w:after="0" w:before="0"/>
            </w:pPr>
            <w:r>
              <w:rPr>
                <w:sz w:val="15"/>
              </w:rPr>
              <w:t>D3, historically grounded</w:t>
            </w:r>
          </w:p>
        </w:tc>
        <w:tc>
          <w:tcPr>
            <w:tcW w:type="dxa" w:w="1184"/>
            <w:vAlign w:val="top"/>
          </w:tcPr>
          <w:p>
            <w:pPr>
              <w:spacing w:after="0" w:before="0"/>
            </w:pPr>
            <w:r>
              <w:rPr>
                <w:sz w:val="15"/>
              </w:rPr>
              <w:t>Elevate</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Primary advocacy proposition.</w:t>
            </w:r>
          </w:p>
        </w:tc>
      </w:tr>
      <w:tr>
        <w:trPr>
          <w:cantSplit/>
        </w:trPr>
        <w:tc>
          <w:tcPr>
            <w:tcW w:type="dxa" w:w="1184"/>
            <w:vAlign w:val="top"/>
          </w:tcPr>
          <w:p>
            <w:pPr>
              <w:spacing w:after="0" w:before="0"/>
            </w:pPr>
            <w:r>
              <w:rPr>
                <w:sz w:val="15"/>
              </w:rPr>
              <w:t>P-05C</w:t>
            </w:r>
          </w:p>
        </w:tc>
        <w:tc>
          <w:tcPr>
            <w:tcW w:type="dxa" w:w="1184"/>
            <w:vAlign w:val="top"/>
          </w:tcPr>
          <w:p>
            <w:pPr>
              <w:spacing w:after="0" w:before="0"/>
            </w:pPr>
            <w:r>
              <w:rPr>
                <w:sz w:val="15"/>
              </w:rPr>
              <w:t>Informational fiduciary authority</w:t>
            </w:r>
          </w:p>
        </w:tc>
        <w:tc>
          <w:tcPr>
            <w:tcW w:type="dxa" w:w="1184"/>
            <w:vAlign w:val="top"/>
          </w:tcPr>
          <w:p>
            <w:pPr>
              <w:spacing w:after="0" w:before="0"/>
            </w:pPr>
            <w:r>
              <w:rPr>
                <w:sz w:val="15"/>
              </w:rPr>
              <w:t>Because informational authority is a species of governmental authority, the fiduciary character of legitimate public power extends to government's power to obtain, verify, know, correlate, infer, disclose, retain, and act on information.</w:t>
            </w:r>
          </w:p>
        </w:tc>
        <w:tc>
          <w:tcPr>
            <w:tcW w:type="dxa" w:w="1184"/>
            <w:vAlign w:val="top"/>
          </w:tcPr>
          <w:p>
            <w:pPr>
              <w:spacing w:after="0" w:before="0"/>
            </w:pPr>
            <w:r>
              <w:rPr>
                <w:sz w:val="15"/>
              </w:rPr>
              <w:t>P-05A/B; Balkin; Richards/Hartzog; FC development</w:t>
            </w:r>
          </w:p>
        </w:tc>
        <w:tc>
          <w:tcPr>
            <w:tcW w:type="dxa" w:w="1184"/>
            <w:vAlign w:val="top"/>
          </w:tcPr>
          <w:p>
            <w:pPr>
              <w:spacing w:after="0" w:before="0"/>
            </w:pPr>
            <w:r>
              <w:rPr>
                <w:sz w:val="15"/>
              </w:rPr>
              <w:t>Information-fiduciary critiques; fit and beneficiary-pluralism objections.</w:t>
            </w:r>
          </w:p>
        </w:tc>
        <w:tc>
          <w:tcPr>
            <w:tcW w:type="dxa" w:w="1184"/>
            <w:vAlign w:val="top"/>
          </w:tcPr>
          <w:p>
            <w:pPr>
              <w:spacing w:after="0" w:before="0"/>
            </w:pPr>
            <w:r>
              <w:rPr>
                <w:sz w:val="15"/>
              </w:rPr>
              <w:t>D3</w:t>
            </w:r>
          </w:p>
        </w:tc>
        <w:tc>
          <w:tcPr>
            <w:tcW w:type="dxa" w:w="1184"/>
            <w:vAlign w:val="top"/>
          </w:tcPr>
          <w:p>
            <w:pPr>
              <w:spacing w:after="0" w:before="0"/>
            </w:pPr>
            <w:r>
              <w:rPr>
                <w:sz w:val="15"/>
              </w:rPr>
              <w:t>Elevate</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FC-specific extension.</w:t>
            </w:r>
          </w:p>
        </w:tc>
      </w:tr>
      <w:tr>
        <w:trPr>
          <w:cantSplit/>
        </w:trPr>
        <w:tc>
          <w:tcPr>
            <w:tcW w:type="dxa" w:w="1184"/>
            <w:vAlign w:val="top"/>
          </w:tcPr>
          <w:p>
            <w:pPr>
              <w:spacing w:after="0" w:before="0"/>
            </w:pPr>
            <w:r>
              <w:rPr>
                <w:sz w:val="15"/>
              </w:rPr>
              <w:t>P-05D</w:t>
            </w:r>
          </w:p>
        </w:tc>
        <w:tc>
          <w:tcPr>
            <w:tcW w:type="dxa" w:w="1184"/>
            <w:vAlign w:val="top"/>
          </w:tcPr>
          <w:p>
            <w:pPr>
              <w:spacing w:after="0" w:before="0"/>
            </w:pPr>
            <w:r>
              <w:rPr>
                <w:sz w:val="15"/>
              </w:rPr>
              <w:t>Fiduciary authority-capability principle</w:t>
            </w:r>
          </w:p>
        </w:tc>
        <w:tc>
          <w:tcPr>
            <w:tcW w:type="dxa" w:w="1184"/>
            <w:vAlign w:val="top"/>
          </w:tcPr>
          <w:p>
            <w:pPr>
              <w:spacing w:after="0" w:before="0"/>
            </w:pPr>
            <w:r>
              <w:rPr>
                <w:sz w:val="15"/>
              </w:rPr>
              <w:t>Government should not construct or acquire standing informational capability materially broader than its Legitimate Informational Authority. Even capability within that outer authority boundary is nonconforming when it materially exceeds Necessary Standing Informational Capability for the ordinary standing function.</w:t>
            </w:r>
          </w:p>
        </w:tc>
        <w:tc>
          <w:tcPr>
            <w:tcW w:type="dxa" w:w="1184"/>
            <w:vAlign w:val="top"/>
          </w:tcPr>
          <w:p>
            <w:pPr>
              <w:spacing w:after="0" w:before="0"/>
            </w:pPr>
            <w:r>
              <w:rPr>
                <w:sz w:val="15"/>
              </w:rPr>
              <w:t>P-05C; ACCP; OIA; NIST least-privilege analogies; FCGIAS 2.2 and IR-01</w:t>
            </w:r>
          </w:p>
        </w:tc>
        <w:tc>
          <w:tcPr>
            <w:tcW w:type="dxa" w:w="1184"/>
            <w:vAlign w:val="top"/>
          </w:tcPr>
          <w:p>
            <w:pPr>
              <w:spacing w:after="0" w:before="0"/>
            </w:pPr>
            <w:r>
              <w:rPr>
                <w:sz w:val="15"/>
              </w:rPr>
              <w:t>Administrative necessity, implied powers, emergency capability, and arguments that lawful authorization should suffice.</w:t>
            </w:r>
          </w:p>
        </w:tc>
        <w:tc>
          <w:tcPr>
            <w:tcW w:type="dxa" w:w="1184"/>
            <w:vAlign w:val="top"/>
          </w:tcPr>
          <w:p>
            <w:pPr>
              <w:spacing w:after="0" w:before="0"/>
            </w:pPr>
            <w:r>
              <w:rPr>
                <w:sz w:val="15"/>
              </w:rPr>
              <w:t>D3; D4 if constitutionalized categorically</w:t>
            </w:r>
          </w:p>
        </w:tc>
        <w:tc>
          <w:tcPr>
            <w:tcW w:type="dxa" w:w="1184"/>
            <w:vAlign w:val="top"/>
          </w:tcPr>
          <w:p>
            <w:pPr>
              <w:spacing w:after="0" w:before="0"/>
            </w:pPr>
            <w:r>
              <w:rPr>
                <w:sz w:val="15"/>
              </w:rPr>
              <w:t>Revise / Tier 1</w:t>
            </w:r>
          </w:p>
        </w:tc>
        <w:tc>
          <w:tcPr>
            <w:tcW w:type="dxa" w:w="1184"/>
            <w:vAlign w:val="top"/>
          </w:tcPr>
          <w:p>
            <w:pPr>
              <w:spacing w:after="0" w:before="0"/>
            </w:pPr>
            <w:r>
              <w:rPr>
                <w:sz w:val="15"/>
              </w:rPr>
              <w:t>Integrated; paragraph 9 retains older shorthand and should be tightened at publication-final pass.</w:t>
            </w:r>
          </w:p>
        </w:tc>
        <w:tc>
          <w:tcPr>
            <w:tcW w:type="dxa" w:w="1184"/>
            <w:vAlign w:val="top"/>
          </w:tcPr>
          <w:p>
            <w:pPr>
              <w:spacing w:after="0" w:before="0"/>
            </w:pPr>
            <w:r>
              <w:rPr>
                <w:sz w:val="15"/>
              </w:rPr>
              <w:t>Authority is the outer ceiling. Apply NSIC before accepting broader STIC.</w:t>
            </w:r>
          </w:p>
        </w:tc>
      </w:tr>
      <w:tr>
        <w:trPr>
          <w:cantSplit/>
        </w:trPr>
        <w:tc>
          <w:tcPr>
            <w:tcW w:type="dxa" w:w="1184"/>
            <w:vAlign w:val="top"/>
          </w:tcPr>
          <w:p>
            <w:pPr>
              <w:spacing w:after="0" w:before="0"/>
            </w:pPr>
            <w:r>
              <w:rPr>
                <w:sz w:val="15"/>
              </w:rPr>
              <w:t>P-06</w:t>
            </w:r>
          </w:p>
        </w:tc>
        <w:tc>
          <w:tcPr>
            <w:tcW w:type="dxa" w:w="1184"/>
            <w:vAlign w:val="top"/>
          </w:tcPr>
          <w:p>
            <w:pPr>
              <w:spacing w:after="0" w:before="0"/>
            </w:pPr>
            <w:r>
              <w:rPr>
                <w:sz w:val="15"/>
              </w:rPr>
              <w:t>Government as secondary informational fiduciary</w:t>
            </w:r>
          </w:p>
        </w:tc>
        <w:tc>
          <w:tcPr>
            <w:tcW w:type="dxa" w:w="1184"/>
            <w:vAlign w:val="top"/>
          </w:tcPr>
          <w:p>
            <w:pPr>
              <w:spacing w:after="0" w:before="0"/>
            </w:pPr>
            <w:r>
              <w:rPr>
                <w:sz w:val="15"/>
              </w:rPr>
              <w:t>Government custody creates fiduciary obligations rather than ownership. Government is secondary to the person and limited by lawful purpose and delegated public authority.</w:t>
            </w:r>
          </w:p>
        </w:tc>
        <w:tc>
          <w:tcPr>
            <w:tcW w:type="dxa" w:w="1184"/>
            <w:vAlign w:val="top"/>
          </w:tcPr>
          <w:p>
            <w:pPr>
              <w:spacing w:after="0" w:before="0"/>
            </w:pPr>
            <w:r>
              <w:rPr>
                <w:sz w:val="15"/>
              </w:rPr>
              <w:t>FC scholarship and formal architecture</w:t>
            </w:r>
          </w:p>
        </w:tc>
        <w:tc>
          <w:tcPr>
            <w:tcW w:type="dxa" w:w="1184"/>
            <w:vAlign w:val="top"/>
          </w:tcPr>
          <w:p>
            <w:pPr>
              <w:spacing w:after="0" w:before="0"/>
            </w:pPr>
            <w:r>
              <w:rPr>
                <w:sz w:val="15"/>
              </w:rPr>
              <w:t>Critiques of fiduciary-government analogy.</w:t>
            </w:r>
          </w:p>
        </w:tc>
        <w:tc>
          <w:tcPr>
            <w:tcW w:type="dxa" w:w="1184"/>
            <w:vAlign w:val="top"/>
          </w:tcPr>
          <w:p>
            <w:pPr>
              <w:spacing w:after="0" w:before="0"/>
            </w:pPr>
            <w:r>
              <w:rPr>
                <w:sz w:val="15"/>
              </w:rPr>
              <w:t>D3</w:t>
            </w:r>
          </w:p>
        </w:tc>
        <w:tc>
          <w:tcPr>
            <w:tcW w:type="dxa" w:w="1184"/>
            <w:vAlign w:val="top"/>
          </w:tcPr>
          <w:p>
            <w:pPr>
              <w:spacing w:after="0" w:before="0"/>
            </w:pPr>
            <w:r>
              <w:rPr>
                <w:sz w:val="15"/>
              </w:rPr>
              <w:t>Retain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Vendor is not thereby a fiduciary.</w:t>
            </w:r>
          </w:p>
        </w:tc>
      </w:tr>
      <w:tr>
        <w:trPr>
          <w:cantSplit/>
        </w:trPr>
        <w:tc>
          <w:tcPr>
            <w:tcW w:type="dxa" w:w="1184"/>
            <w:vAlign w:val="top"/>
          </w:tcPr>
          <w:p>
            <w:pPr>
              <w:spacing w:after="0" w:before="0"/>
            </w:pPr>
            <w:r>
              <w:rPr>
                <w:sz w:val="15"/>
              </w:rPr>
              <w:t>P-07</w:t>
            </w:r>
          </w:p>
        </w:tc>
        <w:tc>
          <w:tcPr>
            <w:tcW w:type="dxa" w:w="1184"/>
            <w:vAlign w:val="top"/>
          </w:tcPr>
          <w:p>
            <w:pPr>
              <w:spacing w:after="0" w:before="0"/>
            </w:pPr>
            <w:r>
              <w:rPr>
                <w:sz w:val="15"/>
              </w:rPr>
              <w:t>Purpose limitation / sequestration</w:t>
            </w:r>
          </w:p>
        </w:tc>
        <w:tc>
          <w:tcPr>
            <w:tcW w:type="dxa" w:w="1184"/>
            <w:vAlign w:val="top"/>
          </w:tcPr>
          <w:p>
            <w:pPr>
              <w:spacing w:after="0" w:before="0"/>
            </w:pPr>
            <w:r>
              <w:rPr>
                <w:sz w:val="15"/>
              </w:rPr>
              <w:t>Governmental information should be collected, retained, queried, or used for a singular or sufficiently particular lawful purpose, with purpose domains structurally separated where needed to prevent silent expansion.</w:t>
            </w:r>
          </w:p>
        </w:tc>
        <w:tc>
          <w:tcPr>
            <w:tcW w:type="dxa" w:w="1184"/>
            <w:vAlign w:val="top"/>
          </w:tcPr>
          <w:p>
            <w:pPr>
              <w:spacing w:after="0" w:before="0"/>
            </w:pPr>
            <w:r>
              <w:rPr>
                <w:sz w:val="15"/>
              </w:rPr>
              <w:t>FIPPs/OECD; Contextual Integrity; Ruff antecedents; FC purpose sequestration</w:t>
            </w:r>
          </w:p>
        </w:tc>
        <w:tc>
          <w:tcPr>
            <w:tcW w:type="dxa" w:w="1184"/>
            <w:vAlign w:val="top"/>
          </w:tcPr>
          <w:p>
            <w:pPr>
              <w:spacing w:after="0" w:before="0"/>
            </w:pPr>
            <w:r>
              <w:rPr>
                <w:sz w:val="15"/>
              </w:rPr>
              <w:t>Operational integration and fraud/public-safety arguments.</w:t>
            </w:r>
          </w:p>
        </w:tc>
        <w:tc>
          <w:tcPr>
            <w:tcW w:type="dxa" w:w="1184"/>
            <w:vAlign w:val="top"/>
          </w:tcPr>
          <w:p>
            <w:pPr>
              <w:spacing w:after="0" w:before="0"/>
            </w:pPr>
            <w:r>
              <w:rPr>
                <w:sz w:val="15"/>
              </w:rPr>
              <w:t>D1 antecedent + D3 architecture</w:t>
            </w:r>
          </w:p>
        </w:tc>
        <w:tc>
          <w:tcPr>
            <w:tcW w:type="dxa" w:w="1184"/>
            <w:vAlign w:val="top"/>
          </w:tcPr>
          <w:p>
            <w:pPr>
              <w:spacing w:after="0" w:before="0"/>
            </w:pPr>
            <w:r>
              <w:rPr>
                <w:sz w:val="15"/>
              </w:rPr>
              <w:t>Retain / strengthen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Separate generic purpose limitation from FC Purpose Particularity.</w:t>
            </w:r>
          </w:p>
        </w:tc>
      </w:tr>
      <w:tr>
        <w:trPr>
          <w:cantSplit/>
        </w:trPr>
        <w:tc>
          <w:tcPr>
            <w:tcW w:type="dxa" w:w="1184"/>
            <w:vAlign w:val="top"/>
          </w:tcPr>
          <w:p>
            <w:pPr>
              <w:spacing w:after="0" w:before="0"/>
            </w:pPr>
            <w:r>
              <w:rPr>
                <w:sz w:val="15"/>
              </w:rPr>
              <w:t>P-08</w:t>
            </w:r>
          </w:p>
        </w:tc>
        <w:tc>
          <w:tcPr>
            <w:tcW w:type="dxa" w:w="1184"/>
            <w:vAlign w:val="top"/>
          </w:tcPr>
          <w:p>
            <w:pPr>
              <w:spacing w:after="0" w:before="0"/>
            </w:pPr>
            <w:r>
              <w:rPr>
                <w:sz w:val="15"/>
              </w:rPr>
              <w:t>Informational capability is power</w:t>
            </w:r>
          </w:p>
        </w:tc>
        <w:tc>
          <w:tcPr>
            <w:tcW w:type="dxa" w:w="1184"/>
            <w:vAlign w:val="top"/>
          </w:tcPr>
          <w:p>
            <w:pPr>
              <w:spacing w:after="0" w:before="0"/>
            </w:pPr>
            <w:r>
              <w:rPr>
                <w:sz w:val="15"/>
              </w:rPr>
              <w:t>Standing technical capability to obtain or construct individualized knowledge is a form of institutional governmental power and should be analyzed as such.</w:t>
            </w:r>
          </w:p>
        </w:tc>
        <w:tc>
          <w:tcPr>
            <w:tcW w:type="dxa" w:w="1184"/>
            <w:vAlign w:val="top"/>
          </w:tcPr>
          <w:p>
            <w:pPr>
              <w:spacing w:after="0" w:before="0"/>
            </w:pPr>
            <w:r>
              <w:rPr>
                <w:sz w:val="15"/>
              </w:rPr>
              <w:t>Riley; Carpenter; Chatrie; Rosenzweig; Wright 2026; Lessig/Citron</w:t>
            </w:r>
          </w:p>
        </w:tc>
        <w:tc>
          <w:tcPr>
            <w:tcW w:type="dxa" w:w="1184"/>
            <w:vAlign w:val="top"/>
          </w:tcPr>
          <w:p>
            <w:pPr>
              <w:spacing w:after="0" w:before="0"/>
            </w:pPr>
            <w:r>
              <w:rPr>
                <w:sz w:val="15"/>
              </w:rPr>
              <w:t>Traditional doctrine often waits for exercise/search/injury.</w:t>
            </w:r>
          </w:p>
        </w:tc>
        <w:tc>
          <w:tcPr>
            <w:tcW w:type="dxa" w:w="1184"/>
            <w:vAlign w:val="top"/>
          </w:tcPr>
          <w:p>
            <w:pPr>
              <w:spacing w:after="0" w:before="0"/>
            </w:pPr>
            <w:r>
              <w:rPr>
                <w:sz w:val="15"/>
              </w:rPr>
              <w:t>D3; D4 if asserted as completed search</w:t>
            </w:r>
          </w:p>
        </w:tc>
        <w:tc>
          <w:tcPr>
            <w:tcW w:type="dxa" w:w="1184"/>
            <w:vAlign w:val="top"/>
          </w:tcPr>
          <w:p>
            <w:pPr>
              <w:spacing w:after="0" w:before="0"/>
            </w:pPr>
            <w:r>
              <w:rPr>
                <w:sz w:val="15"/>
              </w:rPr>
              <w:t>Retain / refine</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Chatrie mandatory. No unsupported priority claim.</w:t>
            </w:r>
          </w:p>
        </w:tc>
      </w:tr>
      <w:tr>
        <w:trPr>
          <w:cantSplit/>
        </w:trPr>
        <w:tc>
          <w:tcPr>
            <w:tcW w:type="dxa" w:w="1184"/>
            <w:vAlign w:val="top"/>
          </w:tcPr>
          <w:p>
            <w:pPr>
              <w:spacing w:after="0" w:before="0"/>
            </w:pPr>
            <w:r>
              <w:rPr>
                <w:sz w:val="15"/>
              </w:rPr>
              <w:t>P-09</w:t>
            </w:r>
          </w:p>
        </w:tc>
        <w:tc>
          <w:tcPr>
            <w:tcW w:type="dxa" w:w="1184"/>
            <w:vAlign w:val="top"/>
          </w:tcPr>
          <w:p>
            <w:pPr>
              <w:spacing w:after="0" w:before="0"/>
            </w:pPr>
            <w:r>
              <w:rPr>
                <w:sz w:val="15"/>
              </w:rPr>
              <w:t>Capability does not create authority</w:t>
            </w:r>
          </w:p>
        </w:tc>
        <w:tc>
          <w:tcPr>
            <w:tcW w:type="dxa" w:w="1184"/>
            <w:vAlign w:val="top"/>
          </w:tcPr>
          <w:p>
            <w:pPr>
              <w:spacing w:after="0" w:before="0"/>
            </w:pPr>
            <w:r>
              <w:rPr>
                <w:sz w:val="15"/>
              </w:rPr>
              <w:t>Possession of data, technical feasibility, administrative convenience, or vendor functionality does not itself confer governmental legal authority.</w:t>
            </w:r>
          </w:p>
        </w:tc>
        <w:tc>
          <w:tcPr>
            <w:tcW w:type="dxa" w:w="1184"/>
            <w:vAlign w:val="top"/>
          </w:tcPr>
          <w:p>
            <w:pPr>
              <w:spacing w:after="0" w:before="0"/>
            </w:pPr>
            <w:r>
              <w:rPr>
                <w:sz w:val="15"/>
              </w:rPr>
              <w:t>Iredell; Louisiana PSC; Rosenzweig</w:t>
            </w:r>
          </w:p>
        </w:tc>
        <w:tc>
          <w:tcPr>
            <w:tcW w:type="dxa" w:w="1184"/>
            <w:vAlign w:val="top"/>
          </w:tcPr>
          <w:p>
            <w:pPr>
              <w:spacing w:after="0" w:before="0"/>
            </w:pPr>
            <w:r>
              <w:rPr>
                <w:sz w:val="15"/>
              </w:rPr>
              <w:t>Implied/incidental powers within lawful delegations.</w:t>
            </w:r>
          </w:p>
        </w:tc>
        <w:tc>
          <w:tcPr>
            <w:tcW w:type="dxa" w:w="1184"/>
            <w:vAlign w:val="top"/>
          </w:tcPr>
          <w:p>
            <w:pPr>
              <w:spacing w:after="0" w:before="0"/>
            </w:pPr>
            <w:r>
              <w:rPr>
                <w:sz w:val="15"/>
              </w:rPr>
              <w:t>D1/D2 basic rule; D3 architectural mapping</w:t>
            </w:r>
          </w:p>
        </w:tc>
        <w:tc>
          <w:tcPr>
            <w:tcW w:type="dxa" w:w="1184"/>
            <w:vAlign w:val="top"/>
          </w:tcPr>
          <w:p>
            <w:pPr>
              <w:spacing w:after="0" w:before="0"/>
            </w:pPr>
            <w:r>
              <w:rPr>
                <w:sz w:val="15"/>
              </w:rPr>
              <w:t>Retain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Distinguish lawful means from self-created substantive power.</w:t>
            </w:r>
          </w:p>
        </w:tc>
      </w:tr>
      <w:tr>
        <w:trPr>
          <w:cantSplit/>
        </w:trPr>
        <w:tc>
          <w:tcPr>
            <w:tcW w:type="dxa" w:w="1184"/>
            <w:vAlign w:val="top"/>
          </w:tcPr>
          <w:p>
            <w:pPr>
              <w:spacing w:after="0" w:before="0"/>
            </w:pPr>
            <w:r>
              <w:rPr>
                <w:sz w:val="15"/>
              </w:rPr>
              <w:t>P-10</w:t>
            </w:r>
          </w:p>
        </w:tc>
        <w:tc>
          <w:tcPr>
            <w:tcW w:type="dxa" w:w="1184"/>
            <w:vAlign w:val="top"/>
          </w:tcPr>
          <w:p>
            <w:pPr>
              <w:spacing w:after="0" w:before="0"/>
            </w:pPr>
            <w:r>
              <w:rPr>
                <w:sz w:val="15"/>
              </w:rPr>
              <w:t>Ordered Informational Authority</w:t>
            </w:r>
          </w:p>
        </w:tc>
        <w:tc>
          <w:tcPr>
            <w:tcW w:type="dxa" w:w="1184"/>
            <w:vAlign w:val="top"/>
          </w:tcPr>
          <w:p>
            <w:pPr>
              <w:spacing w:after="0" w:before="0"/>
            </w:pPr>
            <w:r>
              <w:rPr>
                <w:sz w:val="15"/>
              </w:rPr>
              <w:t>OIA governs allocation of power to obtain, verify, know, correlate, infer, disclose, retain, and act on information according to legitimate relationships, purposes, jurisdiction, and authority.</w:t>
            </w:r>
          </w:p>
        </w:tc>
        <w:tc>
          <w:tcPr>
            <w:tcW w:type="dxa" w:w="1184"/>
            <w:vAlign w:val="top"/>
          </w:tcPr>
          <w:p>
            <w:pPr>
              <w:spacing w:after="0" w:before="0"/>
            </w:pPr>
            <w:r>
              <w:rPr>
                <w:sz w:val="15"/>
              </w:rPr>
              <w:t>Public fiduciary theory; Contextual Integrity; purpose limitation; limited-government doctrine; FC V2.0-2.1</w:t>
            </w:r>
          </w:p>
        </w:tc>
        <w:tc>
          <w:tcPr>
            <w:tcW w:type="dxa" w:w="1184"/>
            <w:vAlign w:val="top"/>
          </w:tcPr>
          <w:p>
            <w:pPr>
              <w:spacing w:after="0" w:before="0"/>
            </w:pPr>
            <w:r>
              <w:rPr>
                <w:sz w:val="15"/>
              </w:rPr>
              <w:t>No located exact integrated predecessor; adjacent privacy-flow theories.</w:t>
            </w:r>
          </w:p>
        </w:tc>
        <w:tc>
          <w:tcPr>
            <w:tcW w:type="dxa" w:w="1184"/>
            <w:vAlign w:val="top"/>
          </w:tcPr>
          <w:p>
            <w:pPr>
              <w:spacing w:after="0" w:before="0"/>
            </w:pPr>
            <w:r>
              <w:rPr>
                <w:sz w:val="15"/>
              </w:rPr>
              <w:t>D3</w:t>
            </w:r>
          </w:p>
        </w:tc>
        <w:tc>
          <w:tcPr>
            <w:tcW w:type="dxa" w:w="1184"/>
            <w:vAlign w:val="top"/>
          </w:tcPr>
          <w:p>
            <w:pPr>
              <w:spacing w:after="0" w:before="0"/>
            </w:pPr>
            <w:r>
              <w:rPr>
                <w:sz w:val="15"/>
              </w:rPr>
              <w:t>Retain / principal synthesis</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Claim synthesis, not invention of components.</w:t>
            </w:r>
          </w:p>
        </w:tc>
      </w:tr>
      <w:tr>
        <w:trPr>
          <w:cantSplit/>
        </w:trPr>
        <w:tc>
          <w:tcPr>
            <w:tcW w:type="dxa" w:w="1184"/>
            <w:vAlign w:val="top"/>
          </w:tcPr>
          <w:p>
            <w:pPr>
              <w:spacing w:after="0" w:before="0"/>
            </w:pPr>
            <w:r>
              <w:rPr>
                <w:sz w:val="15"/>
              </w:rPr>
              <w:t>P-11</w:t>
            </w:r>
          </w:p>
        </w:tc>
        <w:tc>
          <w:tcPr>
            <w:tcW w:type="dxa" w:w="1184"/>
            <w:vAlign w:val="top"/>
          </w:tcPr>
          <w:p>
            <w:pPr>
              <w:spacing w:after="0" w:before="0"/>
            </w:pPr>
            <w:r>
              <w:rPr>
                <w:sz w:val="15"/>
              </w:rPr>
              <w:t>Generalized Informational Power</w:t>
            </w:r>
          </w:p>
        </w:tc>
        <w:tc>
          <w:tcPr>
            <w:tcW w:type="dxa" w:w="1184"/>
            <w:vAlign w:val="top"/>
          </w:tcPr>
          <w:p>
            <w:pPr>
              <w:spacing w:after="0" w:before="0"/>
            </w:pPr>
            <w:r>
              <w:rPr>
                <w:sz w:val="15"/>
              </w:rPr>
              <w:t>Many bounded informational authorities should not silently aggregate into a reusable, cross-purpose, generalized governmental power to know.</w:t>
            </w:r>
          </w:p>
        </w:tc>
        <w:tc>
          <w:tcPr>
            <w:tcW w:type="dxa" w:w="1184"/>
            <w:vAlign w:val="top"/>
          </w:tcPr>
          <w:p>
            <w:pPr>
              <w:spacing w:after="0" w:before="0"/>
            </w:pPr>
            <w:r>
              <w:rPr>
                <w:sz w:val="15"/>
              </w:rPr>
              <w:t>Riley; Carpenter; Chatrie; Solove aggregation; mosaic theory; Wright</w:t>
            </w:r>
          </w:p>
        </w:tc>
        <w:tc>
          <w:tcPr>
            <w:tcW w:type="dxa" w:w="1184"/>
            <w:vAlign w:val="top"/>
          </w:tcPr>
          <w:p>
            <w:pPr>
              <w:spacing w:after="0" w:before="0"/>
            </w:pPr>
            <w:r>
              <w:rPr>
                <w:sz w:val="15"/>
              </w:rPr>
              <w:t>Kerr mosaic critique; ordinary information sharing and integration needs.</w:t>
            </w:r>
          </w:p>
        </w:tc>
        <w:tc>
          <w:tcPr>
            <w:tcW w:type="dxa" w:w="1184"/>
            <w:vAlign w:val="top"/>
          </w:tcPr>
          <w:p>
            <w:pPr>
              <w:spacing w:after="0" w:before="0"/>
            </w:pPr>
            <w:r>
              <w:rPr>
                <w:sz w:val="15"/>
              </w:rPr>
              <w:t>D3; D4 for categorical constitutional prohibition</w:t>
            </w:r>
          </w:p>
        </w:tc>
        <w:tc>
          <w:tcPr>
            <w:tcW w:type="dxa" w:w="1184"/>
            <w:vAlign w:val="top"/>
          </w:tcPr>
          <w:p>
            <w:pPr>
              <w:spacing w:after="0" w:before="0"/>
            </w:pPr>
            <w:r>
              <w:rPr>
                <w:sz w:val="15"/>
              </w:rPr>
              <w:t>Retain / strengthen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Functional and material, not database-centric.</w:t>
            </w:r>
          </w:p>
        </w:tc>
      </w:tr>
      <w:tr>
        <w:trPr>
          <w:cantSplit/>
        </w:trPr>
        <w:tc>
          <w:tcPr>
            <w:tcW w:type="dxa" w:w="1184"/>
            <w:vAlign w:val="top"/>
          </w:tcPr>
          <w:p>
            <w:pPr>
              <w:spacing w:after="0" w:before="0"/>
            </w:pPr>
            <w:r>
              <w:rPr>
                <w:sz w:val="15"/>
              </w:rPr>
              <w:t>P-12</w:t>
            </w:r>
          </w:p>
        </w:tc>
        <w:tc>
          <w:tcPr>
            <w:tcW w:type="dxa" w:w="1184"/>
            <w:vAlign w:val="top"/>
          </w:tcPr>
          <w:p>
            <w:pPr>
              <w:spacing w:after="0" w:before="0"/>
            </w:pPr>
            <w:r>
              <w:rPr>
                <w:sz w:val="15"/>
              </w:rPr>
              <w:t>Functional equivalence</w:t>
            </w:r>
          </w:p>
        </w:tc>
        <w:tc>
          <w:tcPr>
            <w:tcW w:type="dxa" w:w="1184"/>
            <w:vAlign w:val="top"/>
          </w:tcPr>
          <w:p>
            <w:pPr>
              <w:spacing w:after="0" w:before="0"/>
            </w:pPr>
            <w:r>
              <w:rPr>
                <w:sz w:val="15"/>
              </w:rPr>
              <w:t>Conformance turns on effective informational capability. Separate databases, APIs, brokers, AI agents, federated services, or intermediaries may be functionally equivalent to a centralized data lake or golden record.</w:t>
            </w:r>
          </w:p>
        </w:tc>
        <w:tc>
          <w:tcPr>
            <w:tcW w:type="dxa" w:w="1184"/>
            <w:vAlign w:val="top"/>
          </w:tcPr>
          <w:p>
            <w:pPr>
              <w:spacing w:after="0" w:before="0"/>
            </w:pPr>
            <w:r>
              <w:rPr>
                <w:sz w:val="15"/>
              </w:rPr>
              <w:t>FC V1.2 onward; Wright fusion architecture as close comparator</w:t>
            </w:r>
          </w:p>
        </w:tc>
        <w:tc>
          <w:tcPr>
            <w:tcW w:type="dxa" w:w="1184"/>
            <w:vAlign w:val="top"/>
          </w:tcPr>
          <w:p>
            <w:pPr>
              <w:spacing w:after="0" w:before="0"/>
            </w:pPr>
            <w:r>
              <w:rPr>
                <w:sz w:val="15"/>
              </w:rPr>
              <w:t>Topology may matter operationally and for security.</w:t>
            </w:r>
          </w:p>
        </w:tc>
        <w:tc>
          <w:tcPr>
            <w:tcW w:type="dxa" w:w="1184"/>
            <w:vAlign w:val="top"/>
          </w:tcPr>
          <w:p>
            <w:pPr>
              <w:spacing w:after="0" w:before="0"/>
            </w:pPr>
            <w:r>
              <w:rPr>
                <w:sz w:val="15"/>
              </w:rPr>
              <w:t>D3</w:t>
            </w:r>
          </w:p>
        </w:tc>
        <w:tc>
          <w:tcPr>
            <w:tcW w:type="dxa" w:w="1184"/>
            <w:vAlign w:val="top"/>
          </w:tcPr>
          <w:p>
            <w:pPr>
              <w:spacing w:after="0" w:before="0"/>
            </w:pPr>
            <w:r>
              <w:rPr>
                <w:sz w:val="15"/>
              </w:rPr>
              <w:t>Retain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Effective power is controlling.</w:t>
            </w:r>
          </w:p>
        </w:tc>
      </w:tr>
      <w:tr>
        <w:trPr>
          <w:cantSplit/>
        </w:trPr>
        <w:tc>
          <w:tcPr>
            <w:tcW w:type="dxa" w:w="1184"/>
            <w:vAlign w:val="top"/>
          </w:tcPr>
          <w:p>
            <w:pPr>
              <w:spacing w:after="0" w:before="0"/>
            </w:pPr>
            <w:r>
              <w:rPr>
                <w:sz w:val="15"/>
              </w:rPr>
              <w:t>P-13</w:t>
            </w:r>
          </w:p>
        </w:tc>
        <w:tc>
          <w:tcPr>
            <w:tcW w:type="dxa" w:w="1184"/>
            <w:vAlign w:val="top"/>
          </w:tcPr>
          <w:p>
            <w:pPr>
              <w:spacing w:after="0" w:before="0"/>
            </w:pPr>
            <w:r>
              <w:rPr>
                <w:sz w:val="15"/>
              </w:rPr>
              <w:t>Standing vs authority-contingent capability</w:t>
            </w:r>
          </w:p>
        </w:tc>
        <w:tc>
          <w:tcPr>
            <w:tcW w:type="dxa" w:w="1184"/>
            <w:vAlign w:val="top"/>
          </w:tcPr>
          <w:p>
            <w:pPr>
              <w:spacing w:after="0" w:before="0"/>
            </w:pPr>
            <w:r>
              <w:rPr>
                <w:sz w:val="15"/>
              </w:rPr>
              <w:t>Government may legitimately become capable of knowing more after a legally and substantively sufficient expansion of relationship, predicate, purpose, authority, and necessity, but materially broader capability should not exist as ordinary standing power before that transition.</w:t>
            </w:r>
          </w:p>
        </w:tc>
        <w:tc>
          <w:tcPr>
            <w:tcW w:type="dxa" w:w="1184"/>
            <w:vAlign w:val="top"/>
          </w:tcPr>
          <w:p>
            <w:pPr>
              <w:spacing w:after="0" w:before="0"/>
            </w:pPr>
            <w:r>
              <w:rPr>
                <w:sz w:val="15"/>
              </w:rPr>
              <w:t>NIST least privilege; Chatrie; Wright 2026; FC state-transition architecture; FCGIAS 2.2</w:t>
            </w:r>
          </w:p>
        </w:tc>
        <w:tc>
          <w:tcPr>
            <w:tcW w:type="dxa" w:w="1184"/>
            <w:vAlign w:val="top"/>
          </w:tcPr>
          <w:p>
            <w:pPr>
              <w:spacing w:after="0" w:before="0"/>
            </w:pPr>
            <w:r>
              <w:rPr>
                <w:sz w:val="15"/>
              </w:rPr>
              <w:t>Positive law often regulates use rather than the mere existence of capability; standby capability may sometimes be operationally necessary.</w:t>
            </w:r>
          </w:p>
        </w:tc>
        <w:tc>
          <w:tcPr>
            <w:tcW w:type="dxa" w:w="1184"/>
            <w:vAlign w:val="top"/>
          </w:tcPr>
          <w:p>
            <w:pPr>
              <w:spacing w:after="0" w:before="0"/>
            </w:pPr>
            <w:r>
              <w:rPr>
                <w:sz w:val="15"/>
              </w:rPr>
              <w:t>D3</w:t>
            </w:r>
          </w:p>
        </w:tc>
        <w:tc>
          <w:tcPr>
            <w:tcW w:type="dxa" w:w="1184"/>
            <w:vAlign w:val="top"/>
          </w:tcPr>
          <w:p>
            <w:pPr>
              <w:spacing w:after="0" w:before="0"/>
            </w:pPr>
            <w:r>
              <w:rPr>
                <w:sz w:val="15"/>
              </w:rPr>
              <w:t>Revise / retain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Do not collapse legitimate future availability into present standing availability.</w:t>
            </w:r>
          </w:p>
        </w:tc>
      </w:tr>
      <w:tr>
        <w:trPr>
          <w:cantSplit/>
        </w:trPr>
        <w:tc>
          <w:tcPr>
            <w:tcW w:type="dxa" w:w="1184"/>
            <w:vAlign w:val="top"/>
          </w:tcPr>
          <w:p>
            <w:pPr>
              <w:spacing w:after="0" w:before="0"/>
            </w:pPr>
            <w:r>
              <w:rPr>
                <w:sz w:val="15"/>
              </w:rPr>
              <w:t>P-14</w:t>
            </w:r>
          </w:p>
        </w:tc>
        <w:tc>
          <w:tcPr>
            <w:tcW w:type="dxa" w:w="1184"/>
            <w:vAlign w:val="top"/>
          </w:tcPr>
          <w:p>
            <w:pPr>
              <w:spacing w:after="0" w:before="0"/>
            </w:pPr>
            <w:r>
              <w:rPr>
                <w:sz w:val="15"/>
              </w:rPr>
              <w:t>Materially renewed authority</w:t>
            </w:r>
          </w:p>
        </w:tc>
        <w:tc>
          <w:tcPr>
            <w:tcW w:type="dxa" w:w="1184"/>
            <w:vAlign w:val="top"/>
          </w:tcPr>
          <w:p>
            <w:pPr>
              <w:spacing w:after="0" w:before="0"/>
            </w:pPr>
            <w:r>
              <w:rPr>
                <w:sz w:val="15"/>
              </w:rPr>
              <w:t>Materially broader governmental informational knowledge or capability should require Materially Renewed Authorization that is both legally sufficient and substantively sufficient for the resulting Legitimate Informational Authority and, where standing capability expands, reasonably necessary for the resulting legitimate function.</w:t>
            </w:r>
          </w:p>
        </w:tc>
        <w:tc>
          <w:tcPr>
            <w:tcW w:type="dxa" w:w="1184"/>
            <w:vAlign w:val="top"/>
          </w:tcPr>
          <w:p>
            <w:pPr>
              <w:spacing w:after="0" w:before="0"/>
            </w:pPr>
            <w:r>
              <w:rPr>
                <w:sz w:val="15"/>
              </w:rPr>
              <w:t>Keith; Chatrie/Jackson; Progressive Particularization; FC V1.x; FCGIAS 2.2</w:t>
            </w:r>
          </w:p>
        </w:tc>
        <w:tc>
          <w:tcPr>
            <w:tcW w:type="dxa" w:w="1184"/>
            <w:vAlign w:val="top"/>
          </w:tcPr>
          <w:p>
            <w:pPr>
              <w:spacing w:after="0" w:before="0"/>
            </w:pPr>
            <w:r>
              <w:rPr>
                <w:sz w:val="15"/>
              </w:rPr>
              <w:t>Implied powers, emergency authorities, broad statutory delegations, and administrative burden.</w:t>
            </w:r>
          </w:p>
        </w:tc>
        <w:tc>
          <w:tcPr>
            <w:tcW w:type="dxa" w:w="1184"/>
            <w:vAlign w:val="top"/>
          </w:tcPr>
          <w:p>
            <w:pPr>
              <w:spacing w:after="0" w:before="0"/>
            </w:pPr>
            <w:r>
              <w:rPr>
                <w:sz w:val="15"/>
              </w:rPr>
              <w:t>D3</w:t>
            </w:r>
          </w:p>
        </w:tc>
        <w:tc>
          <w:tcPr>
            <w:tcW w:type="dxa" w:w="1184"/>
            <w:vAlign w:val="top"/>
          </w:tcPr>
          <w:p>
            <w:pPr>
              <w:spacing w:after="0" w:before="0"/>
            </w:pPr>
            <w:r>
              <w:rPr>
                <w:sz w:val="15"/>
              </w:rPr>
              <w:t>Revise / retain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Renewed authorization must be legally and substantively sufficient; where capability expands, necessity must expand too.</w:t>
            </w:r>
          </w:p>
        </w:tc>
      </w:tr>
      <w:tr>
        <w:trPr>
          <w:cantSplit/>
        </w:trPr>
        <w:tc>
          <w:tcPr>
            <w:tcW w:type="dxa" w:w="1184"/>
            <w:vAlign w:val="top"/>
          </w:tcPr>
          <w:p>
            <w:pPr>
              <w:spacing w:after="0" w:before="0"/>
            </w:pPr>
            <w:r>
              <w:rPr>
                <w:sz w:val="15"/>
              </w:rPr>
              <w:t>P-15</w:t>
            </w:r>
          </w:p>
        </w:tc>
        <w:tc>
          <w:tcPr>
            <w:tcW w:type="dxa" w:w="1184"/>
            <w:vAlign w:val="top"/>
          </w:tcPr>
          <w:p>
            <w:pPr>
              <w:spacing w:after="0" w:before="0"/>
            </w:pPr>
            <w:r>
              <w:rPr>
                <w:sz w:val="15"/>
              </w:rPr>
              <w:t>Correlation and inference</w:t>
            </w:r>
          </w:p>
        </w:tc>
        <w:tc>
          <w:tcPr>
            <w:tcW w:type="dxa" w:w="1184"/>
            <w:vAlign w:val="top"/>
          </w:tcPr>
          <w:p>
            <w:pPr>
              <w:spacing w:after="0" w:before="0"/>
            </w:pPr>
            <w:r>
              <w:rPr>
                <w:sz w:val="15"/>
              </w:rPr>
              <w:t>Material computational correlation or inference that creates materially broader individualized governmental knowledge or consequence can be authority-bearing even when source records were lawfully possessed.</w:t>
            </w:r>
          </w:p>
        </w:tc>
        <w:tc>
          <w:tcPr>
            <w:tcW w:type="dxa" w:w="1184"/>
            <w:vAlign w:val="top"/>
          </w:tcPr>
          <w:p>
            <w:pPr>
              <w:spacing w:after="0" w:before="0"/>
            </w:pPr>
            <w:r>
              <w:rPr>
                <w:sz w:val="15"/>
              </w:rPr>
              <w:t>Riley; Carpenter; aggregation/inference scholarship; FC</w:t>
            </w:r>
          </w:p>
        </w:tc>
        <w:tc>
          <w:tcPr>
            <w:tcW w:type="dxa" w:w="1184"/>
            <w:vAlign w:val="top"/>
          </w:tcPr>
          <w:p>
            <w:pPr>
              <w:spacing w:after="0" w:before="0"/>
            </w:pPr>
            <w:r>
              <w:rPr>
                <w:sz w:val="15"/>
              </w:rPr>
              <w:t>Not every inference or analytic step warrants new authority.</w:t>
            </w:r>
          </w:p>
        </w:tc>
        <w:tc>
          <w:tcPr>
            <w:tcW w:type="dxa" w:w="1184"/>
            <w:vAlign w:val="top"/>
          </w:tcPr>
          <w:p>
            <w:pPr>
              <w:spacing w:after="0" w:before="0"/>
            </w:pPr>
            <w:r>
              <w:rPr>
                <w:sz w:val="15"/>
              </w:rPr>
              <w:t>D3</w:t>
            </w:r>
          </w:p>
        </w:tc>
        <w:tc>
          <w:tcPr>
            <w:tcW w:type="dxa" w:w="1184"/>
            <w:vAlign w:val="top"/>
          </w:tcPr>
          <w:p>
            <w:pPr>
              <w:spacing w:after="0" w:before="0"/>
            </w:pPr>
            <w:r>
              <w:rPr>
                <w:sz w:val="15"/>
              </w:rPr>
              <w:t>Retain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Materiality threshold essential.</w:t>
            </w:r>
          </w:p>
        </w:tc>
      </w:tr>
      <w:tr>
        <w:trPr>
          <w:cantSplit/>
        </w:trPr>
        <w:tc>
          <w:tcPr>
            <w:tcW w:type="dxa" w:w="1184"/>
            <w:vAlign w:val="top"/>
          </w:tcPr>
          <w:p>
            <w:pPr>
              <w:spacing w:after="0" w:before="0"/>
            </w:pPr>
            <w:r>
              <w:rPr>
                <w:sz w:val="15"/>
              </w:rPr>
              <w:t>P-16</w:t>
            </w:r>
          </w:p>
        </w:tc>
        <w:tc>
          <w:tcPr>
            <w:tcW w:type="dxa" w:w="1184"/>
            <w:vAlign w:val="top"/>
          </w:tcPr>
          <w:p>
            <w:pPr>
              <w:spacing w:after="0" w:before="0"/>
            </w:pPr>
            <w:r>
              <w:rPr>
                <w:sz w:val="15"/>
              </w:rPr>
              <w:t>Purpose Particularity</w:t>
            </w:r>
          </w:p>
        </w:tc>
        <w:tc>
          <w:tcPr>
            <w:tcW w:type="dxa" w:w="1184"/>
            <w:vAlign w:val="top"/>
          </w:tcPr>
          <w:p>
            <w:pPr>
              <w:spacing w:after="0" w:before="0"/>
            </w:pPr>
            <w:r>
              <w:rPr>
                <w:sz w:val="15"/>
              </w:rPr>
              <w:t>A governmental purpose must be stated with sufficient specificity to constrain informational capability. Broad abstractions such as fraud prevention, public safety, program integrity, analytics, or citizen services cannot by themselves justify materially broader informational power.</w:t>
            </w:r>
          </w:p>
        </w:tc>
        <w:tc>
          <w:tcPr>
            <w:tcW w:type="dxa" w:w="1184"/>
            <w:vAlign w:val="top"/>
          </w:tcPr>
          <w:p>
            <w:pPr>
              <w:spacing w:after="0" w:before="0"/>
            </w:pPr>
            <w:r>
              <w:rPr>
                <w:sz w:val="15"/>
              </w:rPr>
              <w:t>Privacy Act purpose rules; FIPPs/OECD; general-warrant/particularity history; Chatrie; FC Version 2.2</w:t>
            </w:r>
          </w:p>
        </w:tc>
        <w:tc>
          <w:tcPr>
            <w:tcW w:type="dxa" w:w="1184"/>
            <w:vAlign w:val="top"/>
          </w:tcPr>
          <w:p>
            <w:pPr>
              <w:spacing w:after="0" w:before="0"/>
            </w:pPr>
            <w:r>
              <w:rPr>
                <w:sz w:val="15"/>
              </w:rPr>
              <w:t>Program statutes commonly use broad mission terms and agencies need operational flexibility.</w:t>
            </w:r>
          </w:p>
        </w:tc>
        <w:tc>
          <w:tcPr>
            <w:tcW w:type="dxa" w:w="1184"/>
            <w:vAlign w:val="top"/>
          </w:tcPr>
          <w:p>
            <w:pPr>
              <w:spacing w:after="0" w:before="0"/>
            </w:pPr>
            <w:r>
              <w:rPr>
                <w:sz w:val="15"/>
              </w:rPr>
              <w:t>D3 with D1/D2 antecedents</w:t>
            </w:r>
          </w:p>
        </w:tc>
        <w:tc>
          <w:tcPr>
            <w:tcW w:type="dxa" w:w="1184"/>
            <w:vAlign w:val="top"/>
          </w:tcPr>
          <w:p>
            <w:pPr>
              <w:spacing w:after="0" w:before="0"/>
            </w:pPr>
            <w:r>
              <w:rPr>
                <w:sz w:val="15"/>
              </w:rPr>
              <w:t>Revise / strengthen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Pair with Citizen-Originated Purpose, Purpose Divergence, IJ Level, and Anti-Abstraction.</w:t>
            </w:r>
          </w:p>
        </w:tc>
      </w:tr>
      <w:tr>
        <w:trPr>
          <w:cantSplit/>
        </w:trPr>
        <w:tc>
          <w:tcPr>
            <w:tcW w:type="dxa" w:w="1184"/>
            <w:vAlign w:val="top"/>
          </w:tcPr>
          <w:p>
            <w:pPr>
              <w:spacing w:after="0" w:before="0"/>
            </w:pPr>
            <w:r>
              <w:rPr>
                <w:sz w:val="15"/>
              </w:rPr>
              <w:t>P-17</w:t>
            </w:r>
          </w:p>
        </w:tc>
        <w:tc>
          <w:tcPr>
            <w:tcW w:type="dxa" w:w="1184"/>
            <w:vAlign w:val="top"/>
          </w:tcPr>
          <w:p>
            <w:pPr>
              <w:spacing w:after="0" w:before="0"/>
            </w:pPr>
            <w:r>
              <w:rPr>
                <w:sz w:val="15"/>
              </w:rPr>
              <w:t>Question Particularity</w:t>
            </w:r>
          </w:p>
        </w:tc>
        <w:tc>
          <w:tcPr>
            <w:tcW w:type="dxa" w:w="1184"/>
            <w:vAlign w:val="top"/>
          </w:tcPr>
          <w:p>
            <w:pPr>
              <w:spacing w:after="0" w:before="0"/>
            </w:pPr>
            <w:r>
              <w:rPr>
                <w:sz w:val="15"/>
              </w:rPr>
              <w:t>Even within a lawful purpose, the government should be able to identify the particular informational question it is authorized to ask.</w:t>
            </w:r>
          </w:p>
        </w:tc>
        <w:tc>
          <w:tcPr>
            <w:tcW w:type="dxa" w:w="1184"/>
            <w:vAlign w:val="top"/>
          </w:tcPr>
          <w:p>
            <w:pPr>
              <w:spacing w:after="0" w:before="0"/>
            </w:pPr>
            <w:r>
              <w:rPr>
                <w:sz w:val="15"/>
              </w:rPr>
              <w:t>Chatrie staged process; particularity; FC Authorized Answer</w:t>
            </w:r>
          </w:p>
        </w:tc>
        <w:tc>
          <w:tcPr>
            <w:tcW w:type="dxa" w:w="1184"/>
            <w:vAlign w:val="top"/>
          </w:tcPr>
          <w:p>
            <w:pPr>
              <w:spacing w:after="0" w:before="0"/>
            </w:pPr>
            <w:r>
              <w:rPr>
                <w:sz w:val="15"/>
              </w:rPr>
              <w:t>Complex investigations may require iterative discovery.</w:t>
            </w:r>
          </w:p>
        </w:tc>
        <w:tc>
          <w:tcPr>
            <w:tcW w:type="dxa" w:w="1184"/>
            <w:vAlign w:val="top"/>
          </w:tcPr>
          <w:p>
            <w:pPr>
              <w:spacing w:after="0" w:before="0"/>
            </w:pPr>
            <w:r>
              <w:rPr>
                <w:sz w:val="15"/>
              </w:rPr>
              <w:t>D3</w:t>
            </w:r>
          </w:p>
        </w:tc>
        <w:tc>
          <w:tcPr>
            <w:tcW w:type="dxa" w:w="1184"/>
            <w:vAlign w:val="top"/>
          </w:tcPr>
          <w:p>
            <w:pPr>
              <w:spacing w:after="0" w:before="0"/>
            </w:pPr>
            <w:r>
              <w:rPr>
                <w:sz w:val="15"/>
              </w:rPr>
              <w:t>Retain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Supports bounded discovery and progressive particularization.</w:t>
            </w:r>
          </w:p>
        </w:tc>
      </w:tr>
      <w:tr>
        <w:trPr>
          <w:cantSplit/>
        </w:trPr>
        <w:tc>
          <w:tcPr>
            <w:tcW w:type="dxa" w:w="1184"/>
            <w:vAlign w:val="top"/>
          </w:tcPr>
          <w:p>
            <w:pPr>
              <w:spacing w:after="0" w:before="0"/>
            </w:pPr>
            <w:r>
              <w:rPr>
                <w:sz w:val="15"/>
              </w:rPr>
              <w:t>P-18</w:t>
            </w:r>
          </w:p>
        </w:tc>
        <w:tc>
          <w:tcPr>
            <w:tcW w:type="dxa" w:w="1184"/>
            <w:vAlign w:val="top"/>
          </w:tcPr>
          <w:p>
            <w:pPr>
              <w:spacing w:after="0" w:before="0"/>
            </w:pPr>
            <w:r>
              <w:rPr>
                <w:sz w:val="15"/>
              </w:rPr>
              <w:t>Least Informational Power</w:t>
            </w:r>
          </w:p>
        </w:tc>
        <w:tc>
          <w:tcPr>
            <w:tcW w:type="dxa" w:w="1184"/>
            <w:vAlign w:val="top"/>
          </w:tcPr>
          <w:p>
            <w:pPr>
              <w:spacing w:after="0" w:before="0"/>
            </w:pPr>
            <w:r>
              <w:rPr>
                <w:sz w:val="15"/>
              </w:rPr>
              <w:t>Minimization should be measured not only by data volume but by the amount of governmental power to know that the architecture creates.</w:t>
            </w:r>
          </w:p>
        </w:tc>
        <w:tc>
          <w:tcPr>
            <w:tcW w:type="dxa" w:w="1184"/>
            <w:vAlign w:val="top"/>
          </w:tcPr>
          <w:p>
            <w:pPr>
              <w:spacing w:after="0" w:before="0"/>
            </w:pPr>
            <w:r>
              <w:rPr>
                <w:sz w:val="15"/>
              </w:rPr>
              <w:t>Data minimization; least privilege; Privacy by Design; FC</w:t>
            </w:r>
          </w:p>
        </w:tc>
        <w:tc>
          <w:tcPr>
            <w:tcW w:type="dxa" w:w="1184"/>
            <w:vAlign w:val="top"/>
          </w:tcPr>
          <w:p>
            <w:pPr>
              <w:spacing w:after="0" w:before="0"/>
            </w:pPr>
            <w:r>
              <w:rPr>
                <w:sz w:val="15"/>
              </w:rPr>
              <w:t>Measurement and administrability objections.</w:t>
            </w:r>
          </w:p>
        </w:tc>
        <w:tc>
          <w:tcPr>
            <w:tcW w:type="dxa" w:w="1184"/>
            <w:vAlign w:val="top"/>
          </w:tcPr>
          <w:p>
            <w:pPr>
              <w:spacing w:after="0" w:before="0"/>
            </w:pPr>
            <w:r>
              <w:rPr>
                <w:sz w:val="15"/>
              </w:rPr>
              <w:t>D3</w:t>
            </w:r>
          </w:p>
        </w:tc>
        <w:tc>
          <w:tcPr>
            <w:tcW w:type="dxa" w:w="1184"/>
            <w:vAlign w:val="top"/>
          </w:tcPr>
          <w:p>
            <w:pPr>
              <w:spacing w:after="0" w:before="0"/>
            </w:pPr>
            <w:r>
              <w:rPr>
                <w:sz w:val="15"/>
              </w:rPr>
              <w:t>Retain / strengthen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Strong FC reframing.</w:t>
            </w:r>
          </w:p>
        </w:tc>
      </w:tr>
      <w:tr>
        <w:trPr>
          <w:cantSplit/>
        </w:trPr>
        <w:tc>
          <w:tcPr>
            <w:tcW w:type="dxa" w:w="1184"/>
            <w:vAlign w:val="top"/>
          </w:tcPr>
          <w:p>
            <w:pPr>
              <w:spacing w:after="0" w:before="0"/>
            </w:pPr>
            <w:r>
              <w:rPr>
                <w:sz w:val="15"/>
              </w:rPr>
              <w:t>P-19</w:t>
            </w:r>
          </w:p>
        </w:tc>
        <w:tc>
          <w:tcPr>
            <w:tcW w:type="dxa" w:w="1184"/>
            <w:vAlign w:val="top"/>
          </w:tcPr>
          <w:p>
            <w:pPr>
              <w:spacing w:after="0" w:before="0"/>
            </w:pPr>
            <w:r>
              <w:rPr>
                <w:sz w:val="15"/>
              </w:rPr>
              <w:t>Authorized Answer</w:t>
            </w:r>
          </w:p>
        </w:tc>
        <w:tc>
          <w:tcPr>
            <w:tcW w:type="dxa" w:w="1184"/>
            <w:vAlign w:val="top"/>
          </w:tcPr>
          <w:p>
            <w:pPr>
              <w:spacing w:after="0" w:before="0"/>
            </w:pPr>
            <w:r>
              <w:rPr>
                <w:sz w:val="15"/>
              </w:rPr>
              <w:t>Where a lawful governmental function requires an answer rather than an underlying record, architecture should prefer obtaining the authorized answer without acquiring unnecessary evidentiary substrate.</w:t>
            </w:r>
          </w:p>
        </w:tc>
        <w:tc>
          <w:tcPr>
            <w:tcW w:type="dxa" w:w="1184"/>
            <w:vAlign w:val="top"/>
          </w:tcPr>
          <w:p>
            <w:pPr>
              <w:spacing w:after="0" w:before="0"/>
            </w:pPr>
            <w:r>
              <w:rPr>
                <w:sz w:val="15"/>
              </w:rPr>
              <w:t>NIST SP 800-63C; VC/selective disclosure; Ruff yes/no lineage; FC</w:t>
            </w:r>
          </w:p>
        </w:tc>
        <w:tc>
          <w:tcPr>
            <w:tcW w:type="dxa" w:w="1184"/>
            <w:vAlign w:val="top"/>
          </w:tcPr>
          <w:p>
            <w:pPr>
              <w:spacing w:after="0" w:before="0"/>
            </w:pPr>
            <w:r>
              <w:rPr>
                <w:sz w:val="15"/>
              </w:rPr>
              <w:t>Audit, appeal, evidence, fraud, and statutory record requirements.</w:t>
            </w:r>
          </w:p>
        </w:tc>
        <w:tc>
          <w:tcPr>
            <w:tcW w:type="dxa" w:w="1184"/>
            <w:vAlign w:val="top"/>
          </w:tcPr>
          <w:p>
            <w:pPr>
              <w:spacing w:after="0" w:before="0"/>
            </w:pPr>
            <w:r>
              <w:rPr>
                <w:sz w:val="15"/>
              </w:rPr>
              <w:t>D3</w:t>
            </w:r>
          </w:p>
        </w:tc>
        <w:tc>
          <w:tcPr>
            <w:tcW w:type="dxa" w:w="1184"/>
            <w:vAlign w:val="top"/>
          </w:tcPr>
          <w:p>
            <w:pPr>
              <w:spacing w:after="0" w:before="0"/>
            </w:pPr>
            <w:r>
              <w:rPr>
                <w:sz w:val="15"/>
              </w:rPr>
              <w:t>Retain / strengthen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Do not claim invention of selective disclosure.</w:t>
            </w:r>
          </w:p>
        </w:tc>
      </w:tr>
      <w:tr>
        <w:trPr>
          <w:cantSplit/>
        </w:trPr>
        <w:tc>
          <w:tcPr>
            <w:tcW w:type="dxa" w:w="1184"/>
            <w:vAlign w:val="top"/>
          </w:tcPr>
          <w:p>
            <w:pPr>
              <w:spacing w:after="0" w:before="0"/>
            </w:pPr>
            <w:r>
              <w:rPr>
                <w:sz w:val="15"/>
              </w:rPr>
              <w:t>P-20</w:t>
            </w:r>
          </w:p>
        </w:tc>
        <w:tc>
          <w:tcPr>
            <w:tcW w:type="dxa" w:w="1184"/>
            <w:vAlign w:val="top"/>
          </w:tcPr>
          <w:p>
            <w:pPr>
              <w:spacing w:after="0" w:before="0"/>
            </w:pPr>
            <w:r>
              <w:rPr>
                <w:sz w:val="15"/>
              </w:rPr>
              <w:t>No Phone Home</w:t>
            </w:r>
          </w:p>
        </w:tc>
        <w:tc>
          <w:tcPr>
            <w:tcW w:type="dxa" w:w="1184"/>
            <w:vAlign w:val="top"/>
          </w:tcPr>
          <w:p>
            <w:pPr>
              <w:spacing w:after="0" w:before="0"/>
            </w:pPr>
            <w:r>
              <w:rPr>
                <w:sz w:val="15"/>
              </w:rPr>
              <w:t>Verification should not unnecessarily permit an issuer, identity provider, or central authority to observe each downstream credential presentation or transaction.</w:t>
            </w:r>
          </w:p>
        </w:tc>
        <w:tc>
          <w:tcPr>
            <w:tcW w:type="dxa" w:w="1184"/>
            <w:vAlign w:val="top"/>
          </w:tcPr>
          <w:p>
            <w:pPr>
              <w:spacing w:after="0" w:before="0"/>
            </w:pPr>
            <w:r>
              <w:rPr>
                <w:sz w:val="15"/>
              </w:rPr>
              <w:t>Ruff antecedents; mDL critique; DHS decentralized identity guidance; FC</w:t>
            </w:r>
          </w:p>
        </w:tc>
        <w:tc>
          <w:tcPr>
            <w:tcW w:type="dxa" w:w="1184"/>
            <w:vAlign w:val="top"/>
          </w:tcPr>
          <w:p>
            <w:pPr>
              <w:spacing w:after="0" w:before="0"/>
            </w:pPr>
            <w:r>
              <w:rPr>
                <w:sz w:val="15"/>
              </w:rPr>
              <w:t>Revocation, fraud, recovery, ecosystem governance.</w:t>
            </w:r>
          </w:p>
        </w:tc>
        <w:tc>
          <w:tcPr>
            <w:tcW w:type="dxa" w:w="1184"/>
            <w:vAlign w:val="top"/>
          </w:tcPr>
          <w:p>
            <w:pPr>
              <w:spacing w:after="0" w:before="0"/>
            </w:pPr>
            <w:r>
              <w:rPr>
                <w:sz w:val="15"/>
              </w:rPr>
              <w:t>D3 architecture with technical antecedents</w:t>
            </w:r>
          </w:p>
        </w:tc>
        <w:tc>
          <w:tcPr>
            <w:tcW w:type="dxa" w:w="1184"/>
            <w:vAlign w:val="top"/>
          </w:tcPr>
          <w:p>
            <w:pPr>
              <w:spacing w:after="0" w:before="0"/>
            </w:pPr>
            <w:r>
              <w:rPr>
                <w:sz w:val="15"/>
              </w:rPr>
              <w:t>Elevate</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Observability includes metadata, verifier, time, location, attributes.</w:t>
            </w:r>
          </w:p>
        </w:tc>
      </w:tr>
      <w:tr>
        <w:trPr>
          <w:cantSplit/>
        </w:trPr>
        <w:tc>
          <w:tcPr>
            <w:tcW w:type="dxa" w:w="1184"/>
            <w:vAlign w:val="top"/>
          </w:tcPr>
          <w:p>
            <w:pPr>
              <w:spacing w:after="0" w:before="0"/>
            </w:pPr>
            <w:r>
              <w:rPr>
                <w:sz w:val="15"/>
              </w:rPr>
              <w:t>P-21</w:t>
            </w:r>
          </w:p>
        </w:tc>
        <w:tc>
          <w:tcPr>
            <w:tcW w:type="dxa" w:w="1184"/>
            <w:vAlign w:val="top"/>
          </w:tcPr>
          <w:p>
            <w:pPr>
              <w:spacing w:after="0" w:before="0"/>
            </w:pPr>
            <w:r>
              <w:rPr>
                <w:sz w:val="15"/>
              </w:rPr>
              <w:t>Decentralized Informational Authority</w:t>
            </w:r>
          </w:p>
        </w:tc>
        <w:tc>
          <w:tcPr>
            <w:tcW w:type="dxa" w:w="1184"/>
            <w:vAlign w:val="top"/>
          </w:tcPr>
          <w:p>
            <w:pPr>
              <w:spacing w:after="0" w:before="0"/>
            </w:pPr>
            <w:r>
              <w:rPr>
                <w:sz w:val="15"/>
              </w:rPr>
              <w:t>FC affirmatively favors decentralized informational architecture because legitimate informational authority is distributed among persons, purposes, programs, institutions, and jurisdictions.</w:t>
            </w:r>
          </w:p>
        </w:tc>
        <w:tc>
          <w:tcPr>
            <w:tcW w:type="dxa" w:w="1184"/>
            <w:vAlign w:val="top"/>
          </w:tcPr>
          <w:p>
            <w:pPr>
              <w:spacing w:after="0" w:before="0"/>
            </w:pPr>
            <w:r>
              <w:rPr>
                <w:sz w:val="15"/>
              </w:rPr>
              <w:t>Ruff/Verifiable Government; SSI/DID; PIT; NPH; divided public authority</w:t>
            </w:r>
          </w:p>
        </w:tc>
        <w:tc>
          <w:tcPr>
            <w:tcW w:type="dxa" w:w="1184"/>
            <w:vAlign w:val="top"/>
          </w:tcPr>
          <w:p>
            <w:pPr>
              <w:spacing w:after="0" w:before="0"/>
            </w:pPr>
            <w:r>
              <w:rPr>
                <w:sz w:val="15"/>
              </w:rPr>
              <w:t>Centralized components can sometimes be bounded and legitimate.</w:t>
            </w:r>
          </w:p>
        </w:tc>
        <w:tc>
          <w:tcPr>
            <w:tcW w:type="dxa" w:w="1184"/>
            <w:vAlign w:val="top"/>
          </w:tcPr>
          <w:p>
            <w:pPr>
              <w:spacing w:after="0" w:before="0"/>
            </w:pPr>
            <w:r>
              <w:rPr>
                <w:sz w:val="15"/>
              </w:rPr>
              <w:t>D3</w:t>
            </w:r>
          </w:p>
        </w:tc>
        <w:tc>
          <w:tcPr>
            <w:tcW w:type="dxa" w:w="1184"/>
            <w:vAlign w:val="top"/>
          </w:tcPr>
          <w:p>
            <w:pPr>
              <w:spacing w:after="0" w:before="0"/>
            </w:pPr>
            <w:r>
              <w:rPr>
                <w:sz w:val="15"/>
              </w:rPr>
              <w:t>Elevate to foundational</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Technology-neutral does not mean neutral about concentration of informational power.</w:t>
            </w:r>
          </w:p>
        </w:tc>
      </w:tr>
      <w:tr>
        <w:trPr>
          <w:cantSplit/>
        </w:trPr>
        <w:tc>
          <w:tcPr>
            <w:tcW w:type="dxa" w:w="1184"/>
            <w:vAlign w:val="top"/>
          </w:tcPr>
          <w:p>
            <w:pPr>
              <w:spacing w:after="0" w:before="0"/>
            </w:pPr>
            <w:r>
              <w:rPr>
                <w:sz w:val="15"/>
              </w:rPr>
              <w:t>P-22</w:t>
            </w:r>
          </w:p>
        </w:tc>
        <w:tc>
          <w:tcPr>
            <w:tcW w:type="dxa" w:w="1184"/>
            <w:vAlign w:val="top"/>
          </w:tcPr>
          <w:p>
            <w:pPr>
              <w:spacing w:after="0" w:before="0"/>
            </w:pPr>
            <w:r>
              <w:rPr>
                <w:sz w:val="15"/>
              </w:rPr>
              <w:t>Functional decentralization</w:t>
            </w:r>
          </w:p>
        </w:tc>
        <w:tc>
          <w:tcPr>
            <w:tcW w:type="dxa" w:w="1184"/>
            <w:vAlign w:val="top"/>
          </w:tcPr>
          <w:p>
            <w:pPr>
              <w:spacing w:after="0" w:before="0"/>
            </w:pPr>
            <w:r>
              <w:rPr>
                <w:sz w:val="15"/>
              </w:rPr>
              <w:t>Decentralization must be evaluated by effective informational power rather than by network diagram. A physically distributed system that provides standing centralized query, correlation, inference, observation, or retrieval power is functionally centralized for FC purposes.</w:t>
            </w:r>
          </w:p>
        </w:tc>
        <w:tc>
          <w:tcPr>
            <w:tcW w:type="dxa" w:w="1184"/>
            <w:vAlign w:val="top"/>
          </w:tcPr>
          <w:p>
            <w:pPr>
              <w:spacing w:after="0" w:before="0"/>
            </w:pPr>
            <w:r>
              <w:rPr>
                <w:sz w:val="15"/>
              </w:rPr>
              <w:t>Federated analysis; Wright; FC functional-equivalence line</w:t>
            </w:r>
          </w:p>
        </w:tc>
        <w:tc>
          <w:tcPr>
            <w:tcW w:type="dxa" w:w="1184"/>
            <w:vAlign w:val="top"/>
          </w:tcPr>
          <w:p>
            <w:pPr>
              <w:spacing w:after="0" w:before="0"/>
            </w:pPr>
            <w:r>
              <w:rPr>
                <w:sz w:val="15"/>
              </w:rPr>
              <w:t>Physical distribution can still materially reduce risk.</w:t>
            </w:r>
          </w:p>
        </w:tc>
        <w:tc>
          <w:tcPr>
            <w:tcW w:type="dxa" w:w="1184"/>
            <w:vAlign w:val="top"/>
          </w:tcPr>
          <w:p>
            <w:pPr>
              <w:spacing w:after="0" w:before="0"/>
            </w:pPr>
            <w:r>
              <w:rPr>
                <w:sz w:val="15"/>
              </w:rPr>
              <w:t>D3</w:t>
            </w:r>
          </w:p>
        </w:tc>
        <w:tc>
          <w:tcPr>
            <w:tcW w:type="dxa" w:w="1184"/>
            <w:vAlign w:val="top"/>
          </w:tcPr>
          <w:p>
            <w:pPr>
              <w:spacing w:after="0" w:before="0"/>
            </w:pPr>
            <w:r>
              <w:rPr>
                <w:sz w:val="15"/>
              </w:rPr>
              <w:t>Add / Tier 1</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Controlling sentence: evaluate effective informational power, not network diagram.</w:t>
            </w:r>
          </w:p>
        </w:tc>
      </w:tr>
      <w:tr>
        <w:trPr>
          <w:cantSplit/>
        </w:trPr>
        <w:tc>
          <w:tcPr>
            <w:tcW w:type="dxa" w:w="1184"/>
            <w:vAlign w:val="top"/>
          </w:tcPr>
          <w:p>
            <w:pPr>
              <w:spacing w:after="0" w:before="0"/>
            </w:pPr>
            <w:r>
              <w:rPr>
                <w:sz w:val="15"/>
              </w:rPr>
              <w:t>P-23</w:t>
            </w:r>
          </w:p>
        </w:tc>
        <w:tc>
          <w:tcPr>
            <w:tcW w:type="dxa" w:w="1184"/>
            <w:vAlign w:val="top"/>
          </w:tcPr>
          <w:p>
            <w:pPr>
              <w:spacing w:after="0" w:before="0"/>
            </w:pPr>
            <w:r>
              <w:rPr>
                <w:sz w:val="15"/>
              </w:rPr>
              <w:t>Informational subsidiarity / localized authority</w:t>
            </w:r>
          </w:p>
        </w:tc>
        <w:tc>
          <w:tcPr>
            <w:tcW w:type="dxa" w:w="1184"/>
            <w:vAlign w:val="top"/>
          </w:tcPr>
          <w:p>
            <w:pPr>
              <w:spacing w:after="0" w:before="0"/>
            </w:pPr>
            <w:r>
              <w:rPr>
                <w:sz w:val="15"/>
              </w:rPr>
              <w:t>Informational authority and capability should ordinarily remain with the person, program, institution, or jurisdiction closest to the legitimate function, unless broader allocation is independently justified.</w:t>
            </w:r>
          </w:p>
        </w:tc>
        <w:tc>
          <w:tcPr>
            <w:tcW w:type="dxa" w:w="1184"/>
            <w:vAlign w:val="top"/>
          </w:tcPr>
          <w:p>
            <w:pPr>
              <w:spacing w:after="0" w:before="0"/>
            </w:pPr>
            <w:r>
              <w:rPr>
                <w:sz w:val="15"/>
              </w:rPr>
              <w:t>Subsidiarity traditions; federalism; FC distributed-authority synthesis</w:t>
            </w:r>
          </w:p>
        </w:tc>
        <w:tc>
          <w:tcPr>
            <w:tcW w:type="dxa" w:w="1184"/>
            <w:vAlign w:val="top"/>
          </w:tcPr>
          <w:p>
            <w:pPr>
              <w:spacing w:after="0" w:before="0"/>
            </w:pPr>
            <w:r>
              <w:rPr>
                <w:sz w:val="15"/>
              </w:rPr>
              <w:t>Term subsidiarity imports external theoretical commitments.</w:t>
            </w:r>
          </w:p>
        </w:tc>
        <w:tc>
          <w:tcPr>
            <w:tcW w:type="dxa" w:w="1184"/>
            <w:vAlign w:val="top"/>
          </w:tcPr>
          <w:p>
            <w:pPr>
              <w:spacing w:after="0" w:before="0"/>
            </w:pPr>
            <w:r>
              <w:rPr>
                <w:sz w:val="15"/>
              </w:rPr>
              <w:t>D3 candidate</w:t>
            </w:r>
          </w:p>
        </w:tc>
        <w:tc>
          <w:tcPr>
            <w:tcW w:type="dxa" w:w="1184"/>
            <w:vAlign w:val="top"/>
          </w:tcPr>
          <w:p>
            <w:pPr>
              <w:spacing w:after="0" w:before="0"/>
            </w:pPr>
            <w:r>
              <w:rPr>
                <w:sz w:val="15"/>
              </w:rPr>
              <w:t>Keep open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Provisionally prefer Localized Informational Authority; terminology not frozen.</w:t>
            </w:r>
          </w:p>
        </w:tc>
      </w:tr>
      <w:tr>
        <w:trPr>
          <w:cantSplit/>
        </w:trPr>
        <w:tc>
          <w:tcPr>
            <w:tcW w:type="dxa" w:w="1184"/>
            <w:vAlign w:val="top"/>
          </w:tcPr>
          <w:p>
            <w:pPr>
              <w:spacing w:after="0" w:before="0"/>
            </w:pPr>
            <w:r>
              <w:rPr>
                <w:sz w:val="15"/>
              </w:rPr>
              <w:t>P-24</w:t>
            </w:r>
          </w:p>
        </w:tc>
        <w:tc>
          <w:tcPr>
            <w:tcW w:type="dxa" w:w="1184"/>
            <w:vAlign w:val="top"/>
          </w:tcPr>
          <w:p>
            <w:pPr>
              <w:spacing w:after="0" w:before="0"/>
            </w:pPr>
            <w:r>
              <w:rPr>
                <w:sz w:val="15"/>
              </w:rPr>
              <w:t>Structural Preference</w:t>
            </w:r>
          </w:p>
        </w:tc>
        <w:tc>
          <w:tcPr>
            <w:tcW w:type="dxa" w:w="1184"/>
            <w:vAlign w:val="top"/>
          </w:tcPr>
          <w:p>
            <w:pPr>
              <w:spacing w:after="0" w:before="0"/>
            </w:pPr>
            <w:r>
              <w:rPr>
                <w:sz w:val="15"/>
              </w:rPr>
              <w:t>Where a materially less informationally powerful architecture can reasonably perform the same legitimate standing function with required utility, reliability, security, accessibility, legal effectiveness, and continuity, government should remove, narrow, transactionalize, predicate, segregate, or disable the broader ordinary standing capability rather than rely principally on policy, training, audit, or promises of lawful use.</w:t>
            </w:r>
          </w:p>
        </w:tc>
        <w:tc>
          <w:tcPr>
            <w:tcW w:type="dxa" w:w="1184"/>
            <w:vAlign w:val="top"/>
          </w:tcPr>
          <w:p>
            <w:pPr>
              <w:spacing w:after="0" w:before="0"/>
            </w:pPr>
            <w:r>
              <w:rPr>
                <w:sz w:val="15"/>
              </w:rPr>
              <w:t>NIST least privilege; Zero Trust; Privacy by Design; FC V1.8; IR-01; SD-13</w:t>
            </w:r>
          </w:p>
        </w:tc>
        <w:tc>
          <w:tcPr>
            <w:tcW w:type="dxa" w:w="1184"/>
            <w:vAlign w:val="top"/>
          </w:tcPr>
          <w:p>
            <w:pPr>
              <w:spacing w:after="0" w:before="0"/>
            </w:pPr>
            <w:r>
              <w:rPr>
                <w:sz w:val="15"/>
              </w:rPr>
              <w:t>Reliability, latency, resilience, evidentiary, emergency, accessibility, and continuity needs may justify residual standing capability.</w:t>
            </w:r>
          </w:p>
        </w:tc>
        <w:tc>
          <w:tcPr>
            <w:tcW w:type="dxa" w:w="1184"/>
            <w:vAlign w:val="top"/>
          </w:tcPr>
          <w:p>
            <w:pPr>
              <w:spacing w:after="0" w:before="0"/>
            </w:pPr>
            <w:r>
              <w:rPr>
                <w:sz w:val="15"/>
              </w:rPr>
              <w:t>D3</w:t>
            </w:r>
          </w:p>
        </w:tc>
        <w:tc>
          <w:tcPr>
            <w:tcW w:type="dxa" w:w="1184"/>
            <w:vAlign w:val="top"/>
          </w:tcPr>
          <w:p>
            <w:pPr>
              <w:spacing w:after="0" w:before="0"/>
            </w:pPr>
            <w:r>
              <w:rPr>
                <w:sz w:val="15"/>
              </w:rPr>
              <w:t>Revise / Tier 1</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Structural Least Power comes before IJ balancing. Monitoring does not cure avoidable excess capability.</w:t>
            </w:r>
          </w:p>
        </w:tc>
      </w:tr>
      <w:tr>
        <w:trPr>
          <w:cantSplit/>
        </w:trPr>
        <w:tc>
          <w:tcPr>
            <w:tcW w:type="dxa" w:w="1184"/>
            <w:vAlign w:val="top"/>
          </w:tcPr>
          <w:p>
            <w:pPr>
              <w:spacing w:after="0" w:before="0"/>
            </w:pPr>
            <w:r>
              <w:rPr>
                <w:sz w:val="15"/>
              </w:rPr>
              <w:t>P-25</w:t>
            </w:r>
          </w:p>
        </w:tc>
        <w:tc>
          <w:tcPr>
            <w:tcW w:type="dxa" w:w="1184"/>
            <w:vAlign w:val="top"/>
          </w:tcPr>
          <w:p>
            <w:pPr>
              <w:spacing w:after="0" w:before="0"/>
            </w:pPr>
            <w:r>
              <w:rPr>
                <w:sz w:val="15"/>
              </w:rPr>
              <w:t>ACCP</w:t>
            </w:r>
          </w:p>
        </w:tc>
        <w:tc>
          <w:tcPr>
            <w:tcW w:type="dxa" w:w="1184"/>
            <w:vAlign w:val="top"/>
          </w:tcPr>
          <w:p>
            <w:pPr>
              <w:spacing w:after="0" w:before="0"/>
            </w:pPr>
            <w:r>
              <w:rPr>
                <w:sz w:val="15"/>
              </w:rPr>
              <w:t>A conforming governmental information architecture should cause Standing Technical Informational Capability to correspond to, and not materially exceed, Necessary Standing Informational Capability, which in turn must remain within Standing Legitimate Informational Authority. Materially broader capability may become available only after the governmental relationship, predicate, purpose, authority, and necessity have expanded sufficiently to justify it.</w:t>
            </w:r>
          </w:p>
        </w:tc>
        <w:tc>
          <w:tcPr>
            <w:tcW w:type="dxa" w:w="1184"/>
            <w:vAlign w:val="top"/>
          </w:tcPr>
          <w:p>
            <w:pPr>
              <w:spacing w:after="0" w:before="0"/>
            </w:pPr>
            <w:r>
              <w:rPr>
                <w:sz w:val="15"/>
              </w:rPr>
              <w:t>FC ACCP; NIST least privilege and Zero Trust analogies; FCGIAS 2.2; IR-01; T-70; CF-79; SD-13</w:t>
            </w:r>
          </w:p>
        </w:tc>
        <w:tc>
          <w:tcPr>
            <w:tcW w:type="dxa" w:w="1184"/>
            <w:vAlign w:val="top"/>
          </w:tcPr>
          <w:p>
            <w:pPr>
              <w:spacing w:after="0" w:before="0"/>
            </w:pPr>
            <w:r>
              <w:rPr>
                <w:sz w:val="15"/>
              </w:rPr>
              <w:t>Necessity is context dependent and difficult to quantify; some lawful capability may remain dormant for resilience or emergency use.</w:t>
            </w:r>
          </w:p>
        </w:tc>
        <w:tc>
          <w:tcPr>
            <w:tcW w:type="dxa" w:w="1184"/>
            <w:vAlign w:val="top"/>
          </w:tcPr>
          <w:p>
            <w:pPr>
              <w:spacing w:after="0" w:before="0"/>
            </w:pPr>
            <w:r>
              <w:rPr>
                <w:sz w:val="15"/>
              </w:rPr>
              <w:t>D3</w:t>
            </w:r>
          </w:p>
        </w:tc>
        <w:tc>
          <w:tcPr>
            <w:tcW w:type="dxa" w:w="1184"/>
            <w:vAlign w:val="top"/>
          </w:tcPr>
          <w:p>
            <w:pPr>
              <w:spacing w:after="0" w:before="0"/>
            </w:pPr>
            <w:r>
              <w:rPr>
                <w:sz w:val="15"/>
              </w:rPr>
              <w:t>Revise / principal architectural rule</w:t>
            </w:r>
          </w:p>
        </w:tc>
        <w:tc>
          <w:tcPr>
            <w:tcW w:type="dxa" w:w="1184"/>
            <w:vAlign w:val="top"/>
          </w:tcPr>
          <w:p>
            <w:pPr>
              <w:spacing w:after="0" w:before="0"/>
            </w:pPr>
            <w:r>
              <w:rPr>
                <w:sz w:val="15"/>
              </w:rPr>
              <w:t>Integrated; paragraph 9 should expressly include NSIC rather than only authority correspondence.</w:t>
            </w:r>
          </w:p>
        </w:tc>
        <w:tc>
          <w:tcPr>
            <w:tcW w:type="dxa" w:w="1184"/>
            <w:vAlign w:val="top"/>
          </w:tcPr>
          <w:p>
            <w:pPr>
              <w:spacing w:after="0" w:before="0"/>
            </w:pPr>
            <w:r>
              <w:rPr>
                <w:sz w:val="15"/>
              </w:rPr>
              <w:t>Use STIC ≤ NSIC ≤ SLIA as normative containment, not mathematical measurement.</w:t>
            </w:r>
          </w:p>
        </w:tc>
      </w:tr>
      <w:tr>
        <w:trPr>
          <w:cantSplit/>
        </w:trPr>
        <w:tc>
          <w:tcPr>
            <w:tcW w:type="dxa" w:w="1184"/>
            <w:vAlign w:val="top"/>
          </w:tcPr>
          <w:p>
            <w:pPr>
              <w:spacing w:after="0" w:before="0"/>
            </w:pPr>
            <w:r>
              <w:rPr>
                <w:sz w:val="15"/>
              </w:rPr>
              <w:t>P-26</w:t>
            </w:r>
          </w:p>
        </w:tc>
        <w:tc>
          <w:tcPr>
            <w:tcW w:type="dxa" w:w="1184"/>
            <w:vAlign w:val="top"/>
          </w:tcPr>
          <w:p>
            <w:pPr>
              <w:spacing w:after="0" w:before="0"/>
            </w:pPr>
            <w:r>
              <w:rPr>
                <w:sz w:val="15"/>
              </w:rPr>
              <w:t>Government Population Golden Record</w:t>
            </w:r>
          </w:p>
        </w:tc>
        <w:tc>
          <w:tcPr>
            <w:tcW w:type="dxa" w:w="1184"/>
            <w:vAlign w:val="top"/>
          </w:tcPr>
          <w:p>
            <w:pPr>
              <w:spacing w:after="0" w:before="0"/>
            </w:pPr>
            <w:r>
              <w:rPr>
                <w:sz w:val="15"/>
              </w:rPr>
              <w:t>A standing capability to construct a materially comprehensive, longitudinal, cross-purpose profile of the population is presumptively incompatible with OIA absent extraordinary and sufficiently particular authority.</w:t>
            </w:r>
          </w:p>
        </w:tc>
        <w:tc>
          <w:tcPr>
            <w:tcW w:type="dxa" w:w="1184"/>
            <w:vAlign w:val="top"/>
          </w:tcPr>
          <w:p>
            <w:pPr>
              <w:spacing w:after="0" w:before="0"/>
            </w:pPr>
            <w:r>
              <w:rPr>
                <w:sz w:val="15"/>
              </w:rPr>
              <w:t>Chatrie virtual-panopticon concern; Carpenter; FC red-team case</w:t>
            </w:r>
          </w:p>
        </w:tc>
        <w:tc>
          <w:tcPr>
            <w:tcW w:type="dxa" w:w="1184"/>
            <w:vAlign w:val="top"/>
          </w:tcPr>
          <w:p>
            <w:pPr>
              <w:spacing w:after="0" w:before="0"/>
            </w:pPr>
            <w:r>
              <w:rPr>
                <w:sz w:val="15"/>
              </w:rPr>
              <w:t>Integration can improve services, fraud detection, research.</w:t>
            </w:r>
          </w:p>
        </w:tc>
        <w:tc>
          <w:tcPr>
            <w:tcW w:type="dxa" w:w="1184"/>
            <w:vAlign w:val="top"/>
          </w:tcPr>
          <w:p>
            <w:pPr>
              <w:spacing w:after="0" w:before="0"/>
            </w:pPr>
            <w:r>
              <w:rPr>
                <w:sz w:val="15"/>
              </w:rPr>
              <w:t>D3; D4 if categorical constitutional rule</w:t>
            </w:r>
          </w:p>
        </w:tc>
        <w:tc>
          <w:tcPr>
            <w:tcW w:type="dxa" w:w="1184"/>
            <w:vAlign w:val="top"/>
          </w:tcPr>
          <w:p>
            <w:pPr>
              <w:spacing w:after="0" w:before="0"/>
            </w:pPr>
            <w:r>
              <w:rPr>
                <w:sz w:val="15"/>
              </w:rPr>
              <w:t>Retain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Test capability, not merely physical master record.</w:t>
            </w:r>
          </w:p>
        </w:tc>
      </w:tr>
      <w:tr>
        <w:trPr>
          <w:cantSplit/>
        </w:trPr>
        <w:tc>
          <w:tcPr>
            <w:tcW w:type="dxa" w:w="1184"/>
            <w:vAlign w:val="top"/>
          </w:tcPr>
          <w:p>
            <w:pPr>
              <w:spacing w:after="0" w:before="0"/>
            </w:pPr>
            <w:r>
              <w:rPr>
                <w:sz w:val="15"/>
              </w:rPr>
              <w:t>P-27</w:t>
            </w:r>
          </w:p>
        </w:tc>
        <w:tc>
          <w:tcPr>
            <w:tcW w:type="dxa" w:w="1184"/>
            <w:vAlign w:val="top"/>
          </w:tcPr>
          <w:p>
            <w:pPr>
              <w:spacing w:after="0" w:before="0"/>
            </w:pPr>
            <w:r>
              <w:rPr>
                <w:sz w:val="15"/>
              </w:rPr>
              <w:t>Federalism / jurisdictional non-aggregation</w:t>
            </w:r>
          </w:p>
        </w:tc>
        <w:tc>
          <w:tcPr>
            <w:tcW w:type="dxa" w:w="1184"/>
            <w:vAlign w:val="top"/>
          </w:tcPr>
          <w:p>
            <w:pPr>
              <w:spacing w:after="0" w:before="0"/>
            </w:pPr>
            <w:r>
              <w:rPr>
                <w:sz w:val="15"/>
              </w:rPr>
              <w:t>Separate informational authorities held by different sovereigns or jurisdictions should not aggregate through technical architecture into a broader effective power that none independently possesses.</w:t>
            </w:r>
          </w:p>
        </w:tc>
        <w:tc>
          <w:tcPr>
            <w:tcW w:type="dxa" w:w="1184"/>
            <w:vAlign w:val="top"/>
          </w:tcPr>
          <w:p>
            <w:pPr>
              <w:spacing w:after="0" w:before="0"/>
            </w:pPr>
            <w:r>
              <w:rPr>
                <w:sz w:val="15"/>
              </w:rPr>
              <w:t>Federalism; divided authority; FC V2.0-2.1</w:t>
            </w:r>
          </w:p>
        </w:tc>
        <w:tc>
          <w:tcPr>
            <w:tcW w:type="dxa" w:w="1184"/>
            <w:vAlign w:val="top"/>
          </w:tcPr>
          <w:p>
            <w:pPr>
              <w:spacing w:after="0" w:before="0"/>
            </w:pPr>
            <w:r>
              <w:rPr>
                <w:sz w:val="15"/>
              </w:rPr>
              <w:t>Lawful intergovernmental cooperation and statutory sharing.</w:t>
            </w:r>
          </w:p>
        </w:tc>
        <w:tc>
          <w:tcPr>
            <w:tcW w:type="dxa" w:w="1184"/>
            <w:vAlign w:val="top"/>
          </w:tcPr>
          <w:p>
            <w:pPr>
              <w:spacing w:after="0" w:before="0"/>
            </w:pPr>
            <w:r>
              <w:rPr>
                <w:sz w:val="15"/>
              </w:rPr>
              <w:t>D3</w:t>
            </w:r>
          </w:p>
        </w:tc>
        <w:tc>
          <w:tcPr>
            <w:tcW w:type="dxa" w:w="1184"/>
            <w:vAlign w:val="top"/>
          </w:tcPr>
          <w:p>
            <w:pPr>
              <w:spacing w:after="0" w:before="0"/>
            </w:pPr>
            <w:r>
              <w:rPr>
                <w:sz w:val="15"/>
              </w:rPr>
              <w:t>Retain / strengthen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Include capability laundering and fusion.</w:t>
            </w:r>
          </w:p>
        </w:tc>
      </w:tr>
      <w:tr>
        <w:trPr>
          <w:cantSplit/>
        </w:trPr>
        <w:tc>
          <w:tcPr>
            <w:tcW w:type="dxa" w:w="1184"/>
            <w:vAlign w:val="top"/>
          </w:tcPr>
          <w:p>
            <w:pPr>
              <w:spacing w:after="0" w:before="0"/>
            </w:pPr>
            <w:r>
              <w:rPr>
                <w:sz w:val="15"/>
              </w:rPr>
              <w:t>P-28</w:t>
            </w:r>
          </w:p>
        </w:tc>
        <w:tc>
          <w:tcPr>
            <w:tcW w:type="dxa" w:w="1184"/>
            <w:vAlign w:val="top"/>
          </w:tcPr>
          <w:p>
            <w:pPr>
              <w:spacing w:after="0" w:before="0"/>
            </w:pPr>
            <w:r>
              <w:rPr>
                <w:sz w:val="15"/>
              </w:rPr>
              <w:t>AI boundary inheritance</w:t>
            </w:r>
          </w:p>
        </w:tc>
        <w:tc>
          <w:tcPr>
            <w:tcW w:type="dxa" w:w="1184"/>
            <w:vAlign w:val="top"/>
          </w:tcPr>
          <w:p>
            <w:pPr>
              <w:spacing w:after="0" w:before="0"/>
            </w:pPr>
            <w:r>
              <w:rPr>
                <w:sz w:val="15"/>
              </w:rPr>
              <w:t>AI systems and agents performing governmental functions inherit the authority limits of those functions and do not acquire broader informational authority merely because computation permits it.</w:t>
            </w:r>
          </w:p>
        </w:tc>
        <w:tc>
          <w:tcPr>
            <w:tcW w:type="dxa" w:w="1184"/>
            <w:vAlign w:val="top"/>
          </w:tcPr>
          <w:p>
            <w:pPr>
              <w:spacing w:after="0" w:before="0"/>
            </w:pPr>
            <w:r>
              <w:rPr>
                <w:sz w:val="15"/>
              </w:rPr>
              <w:t>FC V1.1 onward; GAAFA reciprocal development</w:t>
            </w:r>
          </w:p>
        </w:tc>
        <w:tc>
          <w:tcPr>
            <w:tcW w:type="dxa" w:w="1184"/>
            <w:vAlign w:val="top"/>
          </w:tcPr>
          <w:p>
            <w:pPr>
              <w:spacing w:after="0" w:before="0"/>
            </w:pPr>
            <w:r>
              <w:rPr>
                <w:sz w:val="15"/>
              </w:rPr>
              <w:t>Autonomous/learned behavior complicates attribution.</w:t>
            </w:r>
          </w:p>
        </w:tc>
        <w:tc>
          <w:tcPr>
            <w:tcW w:type="dxa" w:w="1184"/>
            <w:vAlign w:val="top"/>
          </w:tcPr>
          <w:p>
            <w:pPr>
              <w:spacing w:after="0" w:before="0"/>
            </w:pPr>
            <w:r>
              <w:rPr>
                <w:sz w:val="15"/>
              </w:rPr>
              <w:t>D3</w:t>
            </w:r>
          </w:p>
        </w:tc>
        <w:tc>
          <w:tcPr>
            <w:tcW w:type="dxa" w:w="1184"/>
            <w:vAlign w:val="top"/>
          </w:tcPr>
          <w:p>
            <w:pPr>
              <w:spacing w:after="0" w:before="0"/>
            </w:pPr>
            <w:r>
              <w:rPr>
                <w:sz w:val="15"/>
              </w:rPr>
              <w:t>Retain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Include learned artifacts and agent chains.</w:t>
            </w:r>
          </w:p>
        </w:tc>
      </w:tr>
      <w:tr>
        <w:trPr>
          <w:cantSplit/>
        </w:trPr>
        <w:tc>
          <w:tcPr>
            <w:tcW w:type="dxa" w:w="1184"/>
            <w:vAlign w:val="top"/>
          </w:tcPr>
          <w:p>
            <w:pPr>
              <w:spacing w:after="0" w:before="0"/>
            </w:pPr>
            <w:r>
              <w:rPr>
                <w:sz w:val="15"/>
              </w:rPr>
              <w:t>P-29</w:t>
            </w:r>
          </w:p>
        </w:tc>
        <w:tc>
          <w:tcPr>
            <w:tcW w:type="dxa" w:w="1184"/>
            <w:vAlign w:val="top"/>
          </w:tcPr>
          <w:p>
            <w:pPr>
              <w:spacing w:after="0" w:before="0"/>
            </w:pPr>
            <w:r>
              <w:rPr>
                <w:sz w:val="15"/>
              </w:rPr>
              <w:t>Vendor non-fiduciary status</w:t>
            </w:r>
          </w:p>
        </w:tc>
        <w:tc>
          <w:tcPr>
            <w:tcW w:type="dxa" w:w="1184"/>
            <w:vAlign w:val="top"/>
          </w:tcPr>
          <w:p>
            <w:pPr>
              <w:spacing w:after="0" w:before="0"/>
            </w:pPr>
            <w:r>
              <w:rPr>
                <w:sz w:val="15"/>
              </w:rPr>
              <w:t>A private vendor does not become a governmental fiduciary merely because it contracts with government or handles government-related information.</w:t>
            </w:r>
          </w:p>
        </w:tc>
        <w:tc>
          <w:tcPr>
            <w:tcW w:type="dxa" w:w="1184"/>
            <w:vAlign w:val="top"/>
          </w:tcPr>
          <w:p>
            <w:pPr>
              <w:spacing w:after="0" w:before="0"/>
            </w:pPr>
            <w:r>
              <w:rPr>
                <w:sz w:val="15"/>
              </w:rPr>
              <w:t>State-action doctrine; procurement law; FC clarification</w:t>
            </w:r>
          </w:p>
        </w:tc>
        <w:tc>
          <w:tcPr>
            <w:tcW w:type="dxa" w:w="1184"/>
            <w:vAlign w:val="top"/>
          </w:tcPr>
          <w:p>
            <w:pPr>
              <w:spacing w:after="0" w:before="0"/>
            </w:pPr>
            <w:r>
              <w:rPr>
                <w:sz w:val="15"/>
              </w:rPr>
              <w:t>Agency, compulsion, statutory duties can alter particular legal relationships.</w:t>
            </w:r>
          </w:p>
        </w:tc>
        <w:tc>
          <w:tcPr>
            <w:tcW w:type="dxa" w:w="1184"/>
            <w:vAlign w:val="top"/>
          </w:tcPr>
          <w:p>
            <w:pPr>
              <w:spacing w:after="0" w:before="0"/>
            </w:pPr>
            <w:r>
              <w:rPr>
                <w:sz w:val="15"/>
              </w:rPr>
              <w:t>D1/D2 legal boundary + FC rule</w:t>
            </w:r>
          </w:p>
        </w:tc>
        <w:tc>
          <w:tcPr>
            <w:tcW w:type="dxa" w:w="1184"/>
            <w:vAlign w:val="top"/>
          </w:tcPr>
          <w:p>
            <w:pPr>
              <w:spacing w:after="0" w:before="0"/>
            </w:pPr>
            <w:r>
              <w:rPr>
                <w:sz w:val="15"/>
              </w:rPr>
              <w:t>Retain / clarify</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Never use vendor capability attribution to imply fiduciary status.</w:t>
            </w:r>
          </w:p>
        </w:tc>
      </w:tr>
      <w:tr>
        <w:trPr>
          <w:cantSplit/>
        </w:trPr>
        <w:tc>
          <w:tcPr>
            <w:tcW w:type="dxa" w:w="1184"/>
            <w:vAlign w:val="top"/>
          </w:tcPr>
          <w:p>
            <w:pPr>
              <w:spacing w:after="0" w:before="0"/>
            </w:pPr>
            <w:r>
              <w:rPr>
                <w:sz w:val="15"/>
              </w:rPr>
              <w:t>P-30</w:t>
            </w:r>
          </w:p>
        </w:tc>
        <w:tc>
          <w:tcPr>
            <w:tcW w:type="dxa" w:w="1184"/>
            <w:vAlign w:val="top"/>
          </w:tcPr>
          <w:p>
            <w:pPr>
              <w:spacing w:after="0" w:before="0"/>
            </w:pPr>
            <w:r>
              <w:rPr>
                <w:sz w:val="15"/>
              </w:rPr>
              <w:t>Nondelegable governmental duty</w:t>
            </w:r>
          </w:p>
        </w:tc>
        <w:tc>
          <w:tcPr>
            <w:tcW w:type="dxa" w:w="1184"/>
            <w:vAlign w:val="top"/>
          </w:tcPr>
          <w:p>
            <w:pPr>
              <w:spacing w:after="0" w:before="0"/>
            </w:pPr>
            <w:r>
              <w:rPr>
                <w:sz w:val="15"/>
              </w:rPr>
              <w:t>Government cannot contract away the fiduciary limitations, legal authority limits, or conformance obligations applicable to the governmental function it exercises.</w:t>
            </w:r>
          </w:p>
        </w:tc>
        <w:tc>
          <w:tcPr>
            <w:tcW w:type="dxa" w:w="1184"/>
            <w:vAlign w:val="top"/>
          </w:tcPr>
          <w:p>
            <w:pPr>
              <w:spacing w:after="0" w:before="0"/>
            </w:pPr>
            <w:r>
              <w:rPr>
                <w:sz w:val="15"/>
              </w:rPr>
              <w:t>FAR privacy provisions; public authority theory; FC V1.3</w:t>
            </w:r>
          </w:p>
        </w:tc>
        <w:tc>
          <w:tcPr>
            <w:tcW w:type="dxa" w:w="1184"/>
            <w:vAlign w:val="top"/>
          </w:tcPr>
          <w:p>
            <w:pPr>
              <w:spacing w:after="0" w:before="0"/>
            </w:pPr>
            <w:r>
              <w:rPr>
                <w:sz w:val="15"/>
              </w:rPr>
              <w:t>Contractor legal status and remedies vary.</w:t>
            </w:r>
          </w:p>
        </w:tc>
        <w:tc>
          <w:tcPr>
            <w:tcW w:type="dxa" w:w="1184"/>
            <w:vAlign w:val="top"/>
          </w:tcPr>
          <w:p>
            <w:pPr>
              <w:spacing w:after="0" w:before="0"/>
            </w:pPr>
            <w:r>
              <w:rPr>
                <w:sz w:val="15"/>
              </w:rPr>
              <w:t>D2/D3</w:t>
            </w:r>
          </w:p>
        </w:tc>
        <w:tc>
          <w:tcPr>
            <w:tcW w:type="dxa" w:w="1184"/>
            <w:vAlign w:val="top"/>
          </w:tcPr>
          <w:p>
            <w:pPr>
              <w:spacing w:after="0" w:before="0"/>
            </w:pPr>
            <w:r>
              <w:rPr>
                <w:sz w:val="15"/>
              </w:rPr>
              <w:t>Retain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Government duty and vendor duty analyzed separately.</w:t>
            </w:r>
          </w:p>
        </w:tc>
      </w:tr>
      <w:tr>
        <w:trPr>
          <w:cantSplit/>
        </w:trPr>
        <w:tc>
          <w:tcPr>
            <w:tcW w:type="dxa" w:w="1184"/>
            <w:vAlign w:val="top"/>
          </w:tcPr>
          <w:p>
            <w:pPr>
              <w:spacing w:after="0" w:before="0"/>
            </w:pPr>
            <w:r>
              <w:rPr>
                <w:sz w:val="15"/>
              </w:rPr>
              <w:t>P-31</w:t>
            </w:r>
          </w:p>
        </w:tc>
        <w:tc>
          <w:tcPr>
            <w:tcW w:type="dxa" w:w="1184"/>
            <w:vAlign w:val="top"/>
          </w:tcPr>
          <w:p>
            <w:pPr>
              <w:spacing w:after="0" w:before="0"/>
            </w:pPr>
            <w:r>
              <w:rPr>
                <w:sz w:val="15"/>
              </w:rPr>
              <w:t>Vendor capability and conformance</w:t>
            </w:r>
          </w:p>
        </w:tc>
        <w:tc>
          <w:tcPr>
            <w:tcW w:type="dxa" w:w="1184"/>
            <w:vAlign w:val="top"/>
          </w:tcPr>
          <w:p>
            <w:pPr>
              <w:spacing w:after="0" w:before="0"/>
            </w:pPr>
            <w:r>
              <w:rPr>
                <w:sz w:val="15"/>
              </w:rPr>
              <w:t>Capabilities government can exercise through ordinary Vendor permissions, subscriptions, interfaces, agents, delegated roles, or services are attributable to government for architectural and conformance assessment. That attribution does not itself make the Vendor a governmental fiduciary or establish constitutional state action.</w:t>
            </w:r>
          </w:p>
        </w:tc>
        <w:tc>
          <w:tcPr>
            <w:tcW w:type="dxa" w:w="1184"/>
            <w:vAlign w:val="top"/>
          </w:tcPr>
          <w:p>
            <w:pPr>
              <w:spacing w:after="0" w:before="0"/>
            </w:pPr>
            <w:r>
              <w:rPr>
                <w:sz w:val="15"/>
              </w:rPr>
              <w:t>Manhattan Community Access Corp. v. Halleck; Skinner; Blum; Lugar; FC Vendor correction; procurement materials</w:t>
            </w:r>
          </w:p>
        </w:tc>
        <w:tc>
          <w:tcPr>
            <w:tcW w:type="dxa" w:w="1184"/>
            <w:vAlign w:val="top"/>
          </w:tcPr>
          <w:p>
            <w:pPr>
              <w:spacing w:after="0" w:before="0"/>
            </w:pPr>
            <w:r>
              <w:rPr>
                <w:sz w:val="15"/>
              </w:rPr>
              <w:t>State-action attribution may arise from compulsion, significant encouragement, joint action, or other established doctrines.</w:t>
            </w:r>
          </w:p>
        </w:tc>
        <w:tc>
          <w:tcPr>
            <w:tcW w:type="dxa" w:w="1184"/>
            <w:vAlign w:val="top"/>
          </w:tcPr>
          <w:p>
            <w:pPr>
              <w:spacing w:after="0" w:before="0"/>
            </w:pPr>
            <w:r>
              <w:rPr>
                <w:sz w:val="15"/>
              </w:rPr>
              <w:t>D1 state-action law + D3 conformance rule</w:t>
            </w:r>
          </w:p>
        </w:tc>
        <w:tc>
          <w:tcPr>
            <w:tcW w:type="dxa" w:w="1184"/>
            <w:vAlign w:val="top"/>
          </w:tcPr>
          <w:p>
            <w:pPr>
              <w:spacing w:after="0" w:before="0"/>
            </w:pPr>
            <w:r>
              <w:rPr>
                <w:sz w:val="15"/>
              </w:rPr>
              <w:t>Revise / retain</w:t>
            </w:r>
          </w:p>
        </w:tc>
        <w:tc>
          <w:tcPr>
            <w:tcW w:type="dxa" w:w="1184"/>
            <w:vAlign w:val="top"/>
          </w:tcPr>
          <w:p>
            <w:pPr>
              <w:spacing w:after="0" w:before="0"/>
            </w:pPr>
            <w:r>
              <w:rPr>
                <w:sz w:val="15"/>
              </w:rPr>
              <w:t>Integrated expressly; Vendor fiduciary status, state action, and conformance attribution are correctly separated.</w:t>
            </w:r>
          </w:p>
        </w:tc>
        <w:tc>
          <w:tcPr>
            <w:tcW w:type="dxa" w:w="1184"/>
            <w:vAlign w:val="top"/>
          </w:tcPr>
          <w:p>
            <w:pPr>
              <w:spacing w:after="0" w:before="0"/>
            </w:pPr>
            <w:r>
              <w:rPr>
                <w:sz w:val="15"/>
              </w:rPr>
              <w:t>Conformance attribution is not Vendor fiduciary status and is not itself constitutional state action.</w:t>
            </w:r>
          </w:p>
        </w:tc>
      </w:tr>
      <w:tr>
        <w:trPr>
          <w:cantSplit/>
        </w:trPr>
        <w:tc>
          <w:tcPr>
            <w:tcW w:type="dxa" w:w="1184"/>
            <w:vAlign w:val="top"/>
          </w:tcPr>
          <w:p>
            <w:pPr>
              <w:spacing w:after="0" w:before="0"/>
            </w:pPr>
            <w:r>
              <w:rPr>
                <w:sz w:val="15"/>
              </w:rPr>
              <w:t>P-32</w:t>
            </w:r>
          </w:p>
        </w:tc>
        <w:tc>
          <w:tcPr>
            <w:tcW w:type="dxa" w:w="1184"/>
            <w:vAlign w:val="top"/>
          </w:tcPr>
          <w:p>
            <w:pPr>
              <w:spacing w:after="0" w:before="0"/>
            </w:pPr>
            <w:r>
              <w:rPr>
                <w:sz w:val="15"/>
              </w:rPr>
              <w:t>Procure functions, not generalized capability</w:t>
            </w:r>
          </w:p>
        </w:tc>
        <w:tc>
          <w:tcPr>
            <w:tcW w:type="dxa" w:w="1184"/>
            <w:vAlign w:val="top"/>
          </w:tcPr>
          <w:p>
            <w:pPr>
              <w:spacing w:after="0" w:before="0"/>
            </w:pPr>
            <w:r>
              <w:rPr>
                <w:sz w:val="15"/>
              </w:rPr>
              <w:t>Government should procure the least informationally powerful functions and standing capabilities reasonably sufficient for legitimate missions, rather than generalized or bundled capability merely because it is positively authorized, commercially available, technically convenient, or potentially useful under future conditions.</w:t>
            </w:r>
          </w:p>
        </w:tc>
        <w:tc>
          <w:tcPr>
            <w:tcW w:type="dxa" w:w="1184"/>
            <w:vAlign w:val="top"/>
          </w:tcPr>
          <w:p>
            <w:pPr>
              <w:spacing w:after="0" w:before="0"/>
            </w:pPr>
            <w:r>
              <w:rPr>
                <w:sz w:val="15"/>
              </w:rPr>
              <w:t>Federal procurement/security antecedents; NIST least privilege; FCGIAS procurement specification; IR-01</w:t>
            </w:r>
          </w:p>
        </w:tc>
        <w:tc>
          <w:tcPr>
            <w:tcW w:type="dxa" w:w="1184"/>
            <w:vAlign w:val="top"/>
          </w:tcPr>
          <w:p>
            <w:pPr>
              <w:spacing w:after="0" w:before="0"/>
            </w:pPr>
            <w:r>
              <w:rPr>
                <w:sz w:val="15"/>
              </w:rPr>
              <w:t>Commercial bundling, interoperability, enterprise efficiency, resilience, and future mission requirements.</w:t>
            </w:r>
          </w:p>
        </w:tc>
        <w:tc>
          <w:tcPr>
            <w:tcW w:type="dxa" w:w="1184"/>
            <w:vAlign w:val="top"/>
          </w:tcPr>
          <w:p>
            <w:pPr>
              <w:spacing w:after="0" w:before="0"/>
            </w:pPr>
            <w:r>
              <w:rPr>
                <w:sz w:val="15"/>
              </w:rPr>
              <w:t>D3 with D1 procurement analogies</w:t>
            </w:r>
          </w:p>
        </w:tc>
        <w:tc>
          <w:tcPr>
            <w:tcW w:type="dxa" w:w="1184"/>
            <w:vAlign w:val="top"/>
          </w:tcPr>
          <w:p>
            <w:pPr>
              <w:spacing w:after="0" w:before="0"/>
            </w:pPr>
            <w:r>
              <w:rPr>
                <w:sz w:val="15"/>
              </w:rPr>
              <w:t>Revise / strengthen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Procure necessary functions and capabilities, not generalized standing power merely because it is available or positively authorized.</w:t>
            </w:r>
          </w:p>
        </w:tc>
      </w:tr>
      <w:tr>
        <w:trPr>
          <w:cantSplit/>
        </w:trPr>
        <w:tc>
          <w:tcPr>
            <w:tcW w:type="dxa" w:w="1184"/>
            <w:vAlign w:val="top"/>
          </w:tcPr>
          <w:p>
            <w:pPr>
              <w:spacing w:after="0" w:before="0"/>
            </w:pPr>
            <w:r>
              <w:rPr>
                <w:sz w:val="15"/>
              </w:rPr>
              <w:t>P-33</w:t>
            </w:r>
          </w:p>
        </w:tc>
        <w:tc>
          <w:tcPr>
            <w:tcW w:type="dxa" w:w="1184"/>
            <w:vAlign w:val="top"/>
          </w:tcPr>
          <w:p>
            <w:pPr>
              <w:spacing w:after="0" w:before="0"/>
            </w:pPr>
            <w:r>
              <w:rPr>
                <w:sz w:val="15"/>
              </w:rPr>
              <w:t>Chatrie architectural bridge</w:t>
            </w:r>
          </w:p>
        </w:tc>
        <w:tc>
          <w:tcPr>
            <w:tcW w:type="dxa" w:w="1184"/>
            <w:vAlign w:val="top"/>
          </w:tcPr>
          <w:p>
            <w:pPr>
              <w:spacing w:after="0" w:before="0"/>
            </w:pPr>
            <w:r>
              <w:rPr>
                <w:sz w:val="15"/>
              </w:rPr>
              <w:t>Chatrie is a principal modern doctrinal bridge from transactional Fourth Amendment analysis toward the constitutional significance of standing, comprehensive, retrospective surveillance capability and staged digital particularity.</w:t>
            </w:r>
          </w:p>
        </w:tc>
        <w:tc>
          <w:tcPr>
            <w:tcW w:type="dxa" w:w="1184"/>
            <w:vAlign w:val="top"/>
          </w:tcPr>
          <w:p>
            <w:pPr>
              <w:spacing w:after="0" w:before="0"/>
            </w:pPr>
            <w:r>
              <w:rPr>
                <w:sz w:val="15"/>
              </w:rPr>
              <w:t>United States v. Chatrie; user's Chatrie scholarship</w:t>
            </w:r>
          </w:p>
        </w:tc>
        <w:tc>
          <w:tcPr>
            <w:tcW w:type="dxa" w:w="1184"/>
            <w:vAlign w:val="top"/>
          </w:tcPr>
          <w:p>
            <w:pPr>
              <w:spacing w:after="0" w:before="0"/>
            </w:pPr>
            <w:r>
              <w:rPr>
                <w:sz w:val="15"/>
              </w:rPr>
              <w:t>Case does not hold surveillance infrastructure itself unconstitutional.</w:t>
            </w:r>
          </w:p>
        </w:tc>
        <w:tc>
          <w:tcPr>
            <w:tcW w:type="dxa" w:w="1184"/>
            <w:vAlign w:val="top"/>
          </w:tcPr>
          <w:p>
            <w:pPr>
              <w:spacing w:after="0" w:before="0"/>
            </w:pPr>
            <w:r>
              <w:rPr>
                <w:sz w:val="15"/>
              </w:rPr>
              <w:t>D1 holding + D2 inference + D3 FC extension</w:t>
            </w:r>
          </w:p>
        </w:tc>
        <w:tc>
          <w:tcPr>
            <w:tcW w:type="dxa" w:w="1184"/>
            <w:vAlign w:val="top"/>
          </w:tcPr>
          <w:p>
            <w:pPr>
              <w:spacing w:after="0" w:before="0"/>
            </w:pPr>
            <w:r>
              <w:rPr>
                <w:sz w:val="15"/>
              </w:rPr>
              <w:t>Add / core</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Always separate holding, implication, and FC argument.</w:t>
            </w:r>
          </w:p>
        </w:tc>
      </w:tr>
      <w:tr>
        <w:trPr>
          <w:cantSplit/>
        </w:trPr>
        <w:tc>
          <w:tcPr>
            <w:tcW w:type="dxa" w:w="1184"/>
            <w:vAlign w:val="top"/>
          </w:tcPr>
          <w:p>
            <w:pPr>
              <w:spacing w:after="0" w:before="0"/>
            </w:pPr>
            <w:r>
              <w:rPr>
                <w:sz w:val="15"/>
              </w:rPr>
              <w:t>P-34</w:t>
            </w:r>
          </w:p>
        </w:tc>
        <w:tc>
          <w:tcPr>
            <w:tcW w:type="dxa" w:w="1184"/>
            <w:vAlign w:val="top"/>
          </w:tcPr>
          <w:p>
            <w:pPr>
              <w:spacing w:after="0" w:before="0"/>
            </w:pPr>
            <w:r>
              <w:rPr>
                <w:sz w:val="15"/>
              </w:rPr>
              <w:t>General-warrant structural analogy</w:t>
            </w:r>
          </w:p>
        </w:tc>
        <w:tc>
          <w:tcPr>
            <w:tcW w:type="dxa" w:w="1184"/>
            <w:vAlign w:val="top"/>
          </w:tcPr>
          <w:p>
            <w:pPr>
              <w:spacing w:after="0" w:before="0"/>
            </w:pPr>
            <w:r>
              <w:rPr>
                <w:sz w:val="15"/>
              </w:rPr>
              <w:t>Modern architectures can reproduce functional characteristics historically associated with general warrants: breadth, standing availability, weak particularization, and official discretion, even without a single physical warrant or database.</w:t>
            </w:r>
          </w:p>
        </w:tc>
        <w:tc>
          <w:tcPr>
            <w:tcW w:type="dxa" w:w="1184"/>
            <w:vAlign w:val="top"/>
          </w:tcPr>
          <w:p>
            <w:pPr>
              <w:spacing w:after="0" w:before="0"/>
            </w:pPr>
            <w:r>
              <w:rPr>
                <w:sz w:val="15"/>
              </w:rPr>
              <w:t>Otis history; Fourth Amendment; Chatrie; FC V1.5-2.1</w:t>
            </w:r>
          </w:p>
        </w:tc>
        <w:tc>
          <w:tcPr>
            <w:tcW w:type="dxa" w:w="1184"/>
            <w:vAlign w:val="top"/>
          </w:tcPr>
          <w:p>
            <w:pPr>
              <w:spacing w:after="0" w:before="0"/>
            </w:pPr>
            <w:r>
              <w:rPr>
                <w:sz w:val="15"/>
              </w:rPr>
              <w:t>Historical analogy may be contested; modern doctrine remains transaction-focused.</w:t>
            </w:r>
          </w:p>
        </w:tc>
        <w:tc>
          <w:tcPr>
            <w:tcW w:type="dxa" w:w="1184"/>
            <w:vAlign w:val="top"/>
          </w:tcPr>
          <w:p>
            <w:pPr>
              <w:spacing w:after="0" w:before="0"/>
            </w:pPr>
            <w:r>
              <w:rPr>
                <w:sz w:val="15"/>
              </w:rPr>
              <w:t>D2/D3; D4 for constitutional rule</w:t>
            </w:r>
          </w:p>
        </w:tc>
        <w:tc>
          <w:tcPr>
            <w:tcW w:type="dxa" w:w="1184"/>
            <w:vAlign w:val="top"/>
          </w:tcPr>
          <w:p>
            <w:pPr>
              <w:spacing w:after="0" w:before="0"/>
            </w:pPr>
            <w:r>
              <w:rPr>
                <w:sz w:val="15"/>
              </w:rPr>
              <w:t>Retain</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No categorical claim without D4 label.</w:t>
            </w:r>
          </w:p>
        </w:tc>
      </w:tr>
      <w:tr>
        <w:trPr>
          <w:cantSplit/>
        </w:trPr>
        <w:tc>
          <w:tcPr>
            <w:tcW w:type="dxa" w:w="1184"/>
            <w:vAlign w:val="top"/>
          </w:tcPr>
          <w:p>
            <w:pPr>
              <w:spacing w:after="0" w:before="0"/>
            </w:pPr>
            <w:r>
              <w:rPr>
                <w:sz w:val="15"/>
              </w:rPr>
              <w:t>P-35</w:t>
            </w:r>
          </w:p>
        </w:tc>
        <w:tc>
          <w:tcPr>
            <w:tcW w:type="dxa" w:w="1184"/>
            <w:vAlign w:val="top"/>
          </w:tcPr>
          <w:p>
            <w:pPr>
              <w:spacing w:after="0" w:before="0"/>
            </w:pPr>
            <w:r>
              <w:rPr>
                <w:sz w:val="15"/>
              </w:rPr>
              <w:t>Rule of Doctrinal Candor</w:t>
            </w:r>
          </w:p>
        </w:tc>
        <w:tc>
          <w:tcPr>
            <w:tcW w:type="dxa" w:w="1184"/>
            <w:vAlign w:val="top"/>
          </w:tcPr>
          <w:p>
            <w:pPr>
              <w:spacing w:after="0" w:before="0"/>
            </w:pPr>
            <w:r>
              <w:rPr>
                <w:sz w:val="15"/>
              </w:rPr>
              <w:t>FC must state clearly whether a proposition is existing law, historical evidence, interpretive inference, FC normative thesis, architectural principle, proposed reform, or proposed constitutional development.</w:t>
            </w:r>
          </w:p>
        </w:tc>
        <w:tc>
          <w:tcPr>
            <w:tcW w:type="dxa" w:w="1184"/>
            <w:vAlign w:val="top"/>
          </w:tcPr>
          <w:p>
            <w:pPr>
              <w:spacing w:after="0" w:before="0"/>
            </w:pPr>
            <w:r>
              <w:rPr>
                <w:sz w:val="15"/>
              </w:rPr>
              <w:t>FC V1.5; FC-TL 1.0</w:t>
            </w:r>
          </w:p>
        </w:tc>
        <w:tc>
          <w:tcPr>
            <w:tcW w:type="dxa" w:w="1184"/>
            <w:vAlign w:val="top"/>
          </w:tcPr>
          <w:p>
            <w:pPr>
              <w:spacing w:after="0" w:before="0"/>
            </w:pPr>
            <w:r>
              <w:rPr>
                <w:sz w:val="15"/>
              </w:rPr>
              <w:t>None substantive; methodological discipline.</w:t>
            </w:r>
          </w:p>
        </w:tc>
        <w:tc>
          <w:tcPr>
            <w:tcW w:type="dxa" w:w="1184"/>
            <w:vAlign w:val="top"/>
          </w:tcPr>
          <w:p>
            <w:pPr>
              <w:spacing w:after="0" w:before="0"/>
            </w:pPr>
            <w:r>
              <w:rPr>
                <w:sz w:val="15"/>
              </w:rPr>
              <w:t>Methodological</w:t>
            </w:r>
          </w:p>
        </w:tc>
        <w:tc>
          <w:tcPr>
            <w:tcW w:type="dxa" w:w="1184"/>
            <w:vAlign w:val="top"/>
          </w:tcPr>
          <w:p>
            <w:pPr>
              <w:spacing w:after="0" w:before="0"/>
            </w:pPr>
            <w:r>
              <w:rPr>
                <w:sz w:val="15"/>
              </w:rPr>
              <w:t>Retain / foundational</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Mandatory for white paper.</w:t>
            </w:r>
          </w:p>
        </w:tc>
      </w:tr>
      <w:tr>
        <w:trPr>
          <w:cantSplit/>
        </w:trPr>
        <w:tc>
          <w:tcPr>
            <w:tcW w:type="dxa" w:w="1184"/>
            <w:vAlign w:val="top"/>
          </w:tcPr>
          <w:p>
            <w:pPr>
              <w:spacing w:after="0" w:before="0"/>
            </w:pPr>
            <w:r>
              <w:rPr>
                <w:sz w:val="15"/>
              </w:rPr>
              <w:t>P-36</w:t>
            </w:r>
          </w:p>
        </w:tc>
        <w:tc>
          <w:tcPr>
            <w:tcW w:type="dxa" w:w="1184"/>
            <w:vAlign w:val="top"/>
          </w:tcPr>
          <w:p>
            <w:pPr>
              <w:spacing w:after="0" w:before="0"/>
            </w:pPr>
            <w:r>
              <w:rPr>
                <w:sz w:val="15"/>
              </w:rPr>
              <w:t>Positive Legal Authority</w:t>
            </w:r>
          </w:p>
        </w:tc>
        <w:tc>
          <w:tcPr>
            <w:tcW w:type="dxa" w:w="1184"/>
            <w:vAlign w:val="top"/>
          </w:tcPr>
          <w:p>
            <w:pPr>
              <w:spacing w:after="0" w:before="0"/>
            </w:pPr>
            <w:r>
              <w:rPr>
                <w:sz w:val="15"/>
              </w:rPr>
              <w:t>Positive Legal Authority identifies a competent legal source authorizing government to act. It is necessary where applicable, but it is not self-validating as to the legitimacy, scope, necessity, or ordinary standing availability of the resulting informational power.</w:t>
            </w:r>
          </w:p>
        </w:tc>
        <w:tc>
          <w:tcPr>
            <w:tcW w:type="dxa" w:w="1184"/>
            <w:vAlign w:val="top"/>
          </w:tcPr>
          <w:p>
            <w:pPr>
              <w:spacing w:after="0" w:before="0"/>
            </w:pPr>
            <w:r>
              <w:rPr>
                <w:sz w:val="15"/>
              </w:rPr>
              <w:t>Iredell/delegation authorities; Louisiana Pub. Serv. Comm'n v. FCC; FC Version 2.2; FCGIAS 2.2</w:t>
            </w:r>
          </w:p>
        </w:tc>
        <w:tc>
          <w:tcPr>
            <w:tcW w:type="dxa" w:w="1184"/>
            <w:vAlign w:val="top"/>
          </w:tcPr>
          <w:p>
            <w:pPr>
              <w:spacing w:after="0" w:before="0"/>
            </w:pPr>
            <w:r>
              <w:rPr>
                <w:sz w:val="15"/>
              </w:rPr>
              <w:t>Broad legislative delegation, incidental powers, and valid regulations may authorize substantial information activity.</w:t>
            </w:r>
          </w:p>
        </w:tc>
        <w:tc>
          <w:tcPr>
            <w:tcW w:type="dxa" w:w="1184"/>
            <w:vAlign w:val="top"/>
          </w:tcPr>
          <w:p>
            <w:pPr>
              <w:spacing w:after="0" w:before="0"/>
            </w:pPr>
            <w:r>
              <w:rPr>
                <w:sz w:val="15"/>
              </w:rPr>
              <w:t>D1/D2 legal-source principle + D3 FC distinction</w:t>
            </w:r>
          </w:p>
        </w:tc>
        <w:tc>
          <w:tcPr>
            <w:tcW w:type="dxa" w:w="1184"/>
            <w:vAlign w:val="top"/>
          </w:tcPr>
          <w:p>
            <w:pPr>
              <w:spacing w:after="0" w:before="0"/>
            </w:pPr>
            <w:r>
              <w:rPr>
                <w:sz w:val="15"/>
              </w:rPr>
              <w:t>Add / Tier 1</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Positive authorization is necessary where applicable but is not self-validating for LIA or conformance.</w:t>
            </w:r>
          </w:p>
        </w:tc>
      </w:tr>
      <w:tr>
        <w:trPr>
          <w:cantSplit/>
        </w:trPr>
        <w:tc>
          <w:tcPr>
            <w:tcW w:type="dxa" w:w="1184"/>
            <w:vAlign w:val="top"/>
          </w:tcPr>
          <w:p>
            <w:pPr>
              <w:spacing w:after="0" w:before="0"/>
            </w:pPr>
            <w:r>
              <w:rPr>
                <w:sz w:val="15"/>
              </w:rPr>
              <w:t>P-37</w:t>
            </w:r>
          </w:p>
        </w:tc>
        <w:tc>
          <w:tcPr>
            <w:tcW w:type="dxa" w:w="1184"/>
            <w:vAlign w:val="top"/>
          </w:tcPr>
          <w:p>
            <w:pPr>
              <w:spacing w:after="0" w:before="0"/>
            </w:pPr>
            <w:r>
              <w:rPr>
                <w:sz w:val="15"/>
              </w:rPr>
              <w:t>Legitimate Informational Authority</w:t>
            </w:r>
          </w:p>
        </w:tc>
        <w:tc>
          <w:tcPr>
            <w:tcW w:type="dxa" w:w="1184"/>
            <w:vAlign w:val="top"/>
          </w:tcPr>
          <w:p>
            <w:pPr>
              <w:spacing w:after="0" w:before="0"/>
            </w:pPr>
            <w:r>
              <w:rPr>
                <w:sz w:val="15"/>
              </w:rPr>
              <w:t>Legitimate Informational Authority is the informational power justified by the governmental relationship, originating purpose where applicable, legitimate function, necessity, proportionality, informational scope, means, duration, and consequences. Positive Legal Authority and Legitimate Informational Authority are distinct inquiries.</w:t>
            </w:r>
          </w:p>
        </w:tc>
        <w:tc>
          <w:tcPr>
            <w:tcW w:type="dxa" w:w="1184"/>
            <w:vAlign w:val="top"/>
          </w:tcPr>
          <w:p>
            <w:pPr>
              <w:spacing w:after="0" w:before="0"/>
            </w:pPr>
            <w:r>
              <w:rPr>
                <w:sz w:val="15"/>
              </w:rPr>
              <w:t>Public-fiduciary authorities; Privacy Act relevance/necessity and purpose rules; Contextual Integrity; FC Version 2.2</w:t>
            </w:r>
          </w:p>
        </w:tc>
        <w:tc>
          <w:tcPr>
            <w:tcW w:type="dxa" w:w="1184"/>
            <w:vAlign w:val="top"/>
          </w:tcPr>
          <w:p>
            <w:pPr>
              <w:spacing w:after="0" w:before="0"/>
            </w:pPr>
            <w:r>
              <w:rPr>
                <w:sz w:val="15"/>
              </w:rPr>
              <w:t>Positive law ordinarily defines governmental powers, and current doctrine does not universally recognize LIA as a freestanding legal test.</w:t>
            </w:r>
          </w:p>
        </w:tc>
        <w:tc>
          <w:tcPr>
            <w:tcW w:type="dxa" w:w="1184"/>
            <w:vAlign w:val="top"/>
          </w:tcPr>
          <w:p>
            <w:pPr>
              <w:spacing w:after="0" w:before="0"/>
            </w:pPr>
            <w:r>
              <w:rPr>
                <w:sz w:val="15"/>
              </w:rPr>
              <w:t>D3, supported by D1/D2 antecedents</w:t>
            </w:r>
          </w:p>
        </w:tc>
        <w:tc>
          <w:tcPr>
            <w:tcW w:type="dxa" w:w="1184"/>
            <w:vAlign w:val="top"/>
          </w:tcPr>
          <w:p>
            <w:pPr>
              <w:spacing w:after="0" w:before="0"/>
            </w:pPr>
            <w:r>
              <w:rPr>
                <w:sz w:val="15"/>
              </w:rPr>
              <w:t>Add / Tier 1</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Present LIA as the FC legitimacy criterion, not as a claim that current law already uses the term or full test.</w:t>
            </w:r>
          </w:p>
        </w:tc>
      </w:tr>
      <w:tr>
        <w:trPr>
          <w:cantSplit/>
        </w:trPr>
        <w:tc>
          <w:tcPr>
            <w:tcW w:type="dxa" w:w="1184"/>
            <w:vAlign w:val="top"/>
          </w:tcPr>
          <w:p>
            <w:pPr>
              <w:spacing w:after="0" w:before="0"/>
            </w:pPr>
            <w:r>
              <w:rPr>
                <w:sz w:val="15"/>
              </w:rPr>
              <w:t>P-38</w:t>
            </w:r>
          </w:p>
        </w:tc>
        <w:tc>
          <w:tcPr>
            <w:tcW w:type="dxa" w:w="1184"/>
            <w:vAlign w:val="top"/>
          </w:tcPr>
          <w:p>
            <w:pPr>
              <w:spacing w:after="0" w:before="0"/>
            </w:pPr>
            <w:r>
              <w:rPr>
                <w:sz w:val="15"/>
              </w:rPr>
              <w:t>Standing Legitimate Informational Authority</w:t>
            </w:r>
          </w:p>
        </w:tc>
        <w:tc>
          <w:tcPr>
            <w:tcW w:type="dxa" w:w="1184"/>
            <w:vAlign w:val="top"/>
          </w:tcPr>
          <w:p>
            <w:pPr>
              <w:spacing w:after="0" w:before="0"/>
            </w:pPr>
            <w:r>
              <w:rPr>
                <w:sz w:val="15"/>
              </w:rPr>
              <w:t>Standing Legitimate Informational Authority is the outer boundary of informational power government may legitimately possess for the ordinary standing relationship and function without a new material predicate or authorization transition.</w:t>
            </w:r>
          </w:p>
        </w:tc>
        <w:tc>
          <w:tcPr>
            <w:tcW w:type="dxa" w:w="1184"/>
            <w:vAlign w:val="top"/>
          </w:tcPr>
          <w:p>
            <w:pPr>
              <w:spacing w:after="0" w:before="0"/>
            </w:pPr>
            <w:r>
              <w:rPr>
                <w:sz w:val="15"/>
              </w:rPr>
              <w:t>FC Version 2.2; IR-01; least-privilege and Zero Trust analogies; standing-capability analysis</w:t>
            </w:r>
          </w:p>
        </w:tc>
        <w:tc>
          <w:tcPr>
            <w:tcW w:type="dxa" w:w="1184"/>
            <w:vAlign w:val="top"/>
          </w:tcPr>
          <w:p>
            <w:pPr>
              <w:spacing w:after="0" w:before="0"/>
            </w:pPr>
            <w:r>
              <w:rPr>
                <w:sz w:val="15"/>
              </w:rPr>
              <w:t>Some programs legitimately require broad always-available authority and capability; ordinary legal doctrine rarely defines an SLIA category.</w:t>
            </w:r>
          </w:p>
        </w:tc>
        <w:tc>
          <w:tcPr>
            <w:tcW w:type="dxa" w:w="1184"/>
            <w:vAlign w:val="top"/>
          </w:tcPr>
          <w:p>
            <w:pPr>
              <w:spacing w:after="0" w:before="0"/>
            </w:pPr>
            <w:r>
              <w:rPr>
                <w:sz w:val="15"/>
              </w:rPr>
              <w:t>D3</w:t>
            </w:r>
          </w:p>
        </w:tc>
        <w:tc>
          <w:tcPr>
            <w:tcW w:type="dxa" w:w="1184"/>
            <w:vAlign w:val="top"/>
          </w:tcPr>
          <w:p>
            <w:pPr>
              <w:spacing w:after="0" w:before="0"/>
            </w:pPr>
            <w:r>
              <w:rPr>
                <w:sz w:val="15"/>
              </w:rPr>
              <w:t>Add / Tier 1</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SLIA is an outer ceiling, not a procurement specification.</w:t>
            </w:r>
          </w:p>
        </w:tc>
      </w:tr>
      <w:tr>
        <w:trPr>
          <w:cantSplit/>
        </w:trPr>
        <w:tc>
          <w:tcPr>
            <w:tcW w:type="dxa" w:w="1184"/>
            <w:vAlign w:val="top"/>
          </w:tcPr>
          <w:p>
            <w:pPr>
              <w:spacing w:after="0" w:before="0"/>
            </w:pPr>
            <w:r>
              <w:rPr>
                <w:sz w:val="15"/>
              </w:rPr>
              <w:t>P-39</w:t>
            </w:r>
          </w:p>
        </w:tc>
        <w:tc>
          <w:tcPr>
            <w:tcW w:type="dxa" w:w="1184"/>
            <w:vAlign w:val="top"/>
          </w:tcPr>
          <w:p>
            <w:pPr>
              <w:spacing w:after="0" w:before="0"/>
            </w:pPr>
            <w:r>
              <w:rPr>
                <w:sz w:val="15"/>
              </w:rPr>
              <w:t>Citizen-Originated Purpose</w:t>
            </w:r>
          </w:p>
        </w:tc>
        <w:tc>
          <w:tcPr>
            <w:tcW w:type="dxa" w:w="1184"/>
            <w:vAlign w:val="top"/>
          </w:tcPr>
          <w:p>
            <w:pPr>
              <w:spacing w:after="0" w:before="0"/>
            </w:pPr>
            <w:r>
              <w:rPr>
                <w:sz w:val="15"/>
              </w:rPr>
              <w:t>Where an individual voluntarily initiates a governmental interaction, the individual's specific purpose presumptively defines the initial informational boundary of that transaction. Government may depart materially from that purpose only on independently sufficient authority and substantive justification.</w:t>
            </w:r>
          </w:p>
        </w:tc>
        <w:tc>
          <w:tcPr>
            <w:tcW w:type="dxa" w:w="1184"/>
            <w:vAlign w:val="top"/>
          </w:tcPr>
          <w:p>
            <w:pPr>
              <w:spacing w:after="0" w:before="0"/>
            </w:pPr>
            <w:r>
              <w:rPr>
                <w:sz w:val="15"/>
              </w:rPr>
              <w:t>Privacy Act notice and purpose rules; Contextual Integrity; NIST selective-disclosure guidance; 2023-24 Verifiable Government lineage</w:t>
            </w:r>
          </w:p>
        </w:tc>
        <w:tc>
          <w:tcPr>
            <w:tcW w:type="dxa" w:w="1184"/>
            <w:vAlign w:val="top"/>
          </w:tcPr>
          <w:p>
            <w:pPr>
              <w:spacing w:after="0" w:before="0"/>
            </w:pPr>
            <w:r>
              <w:rPr>
                <w:sz w:val="15"/>
              </w:rPr>
              <w:t>Citizen purpose cannot defeat independently valid sovereign duties, investigations, public-health powers, or other authority-originated functions.</w:t>
            </w:r>
          </w:p>
        </w:tc>
        <w:tc>
          <w:tcPr>
            <w:tcW w:type="dxa" w:w="1184"/>
            <w:vAlign w:val="top"/>
          </w:tcPr>
          <w:p>
            <w:pPr>
              <w:spacing w:after="0" w:before="0"/>
            </w:pPr>
            <w:r>
              <w:rPr>
                <w:sz w:val="15"/>
              </w:rPr>
              <w:t>D3 with D1/D2 antecedents</w:t>
            </w:r>
          </w:p>
        </w:tc>
        <w:tc>
          <w:tcPr>
            <w:tcW w:type="dxa" w:w="1184"/>
            <w:vAlign w:val="top"/>
          </w:tcPr>
          <w:p>
            <w:pPr>
              <w:spacing w:after="0" w:before="0"/>
            </w:pPr>
            <w:r>
              <w:rPr>
                <w:sz w:val="15"/>
              </w:rPr>
              <w:t>Add / core</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Do not turn Citizen-Originated Purpose into consent absolutism. Require independent justification for material divergence.</w:t>
            </w:r>
          </w:p>
        </w:tc>
      </w:tr>
      <w:tr>
        <w:trPr>
          <w:cantSplit/>
        </w:trPr>
        <w:tc>
          <w:tcPr>
            <w:tcW w:type="dxa" w:w="1184"/>
            <w:vAlign w:val="top"/>
          </w:tcPr>
          <w:p>
            <w:pPr>
              <w:spacing w:after="0" w:before="0"/>
            </w:pPr>
            <w:r>
              <w:rPr>
                <w:sz w:val="15"/>
              </w:rPr>
              <w:t>P-40</w:t>
            </w:r>
          </w:p>
        </w:tc>
        <w:tc>
          <w:tcPr>
            <w:tcW w:type="dxa" w:w="1184"/>
            <w:vAlign w:val="top"/>
          </w:tcPr>
          <w:p>
            <w:pPr>
              <w:spacing w:after="0" w:before="0"/>
            </w:pPr>
            <w:r>
              <w:rPr>
                <w:sz w:val="15"/>
              </w:rPr>
              <w:t>Purpose Divergence</w:t>
            </w:r>
          </w:p>
        </w:tc>
        <w:tc>
          <w:tcPr>
            <w:tcW w:type="dxa" w:w="1184"/>
            <w:vAlign w:val="top"/>
          </w:tcPr>
          <w:p>
            <w:pPr>
              <w:spacing w:after="0" w:before="0"/>
            </w:pPr>
            <w:r>
              <w:rPr>
                <w:sz w:val="15"/>
              </w:rPr>
              <w:t>A material departure from the Originating Informational Purpose is a distinct legitimacy event. Technical reuse, interoperability, observability, correlation, inference, or administrative convenience does not erase the need to justify the divergent governmental purpose.</w:t>
            </w:r>
          </w:p>
        </w:tc>
        <w:tc>
          <w:tcPr>
            <w:tcW w:type="dxa" w:w="1184"/>
            <w:vAlign w:val="top"/>
          </w:tcPr>
          <w:p>
            <w:pPr>
              <w:spacing w:after="0" w:before="0"/>
            </w:pPr>
            <w:r>
              <w:rPr>
                <w:sz w:val="15"/>
              </w:rPr>
              <w:t>Privacy Act compatibility rule; FIPPs/OECD purpose limitation; Contextual Integrity; FC Version 2.2</w:t>
            </w:r>
          </w:p>
        </w:tc>
        <w:tc>
          <w:tcPr>
            <w:tcW w:type="dxa" w:w="1184"/>
            <w:vAlign w:val="top"/>
          </w:tcPr>
          <w:p>
            <w:pPr>
              <w:spacing w:after="0" w:before="0"/>
            </w:pPr>
            <w:r>
              <w:rPr>
                <w:sz w:val="15"/>
              </w:rPr>
              <w:t>Secondary use is often expressly authorized by statute; compatibility and related-purpose doctrines may permit reuse.</w:t>
            </w:r>
          </w:p>
        </w:tc>
        <w:tc>
          <w:tcPr>
            <w:tcW w:type="dxa" w:w="1184"/>
            <w:vAlign w:val="top"/>
          </w:tcPr>
          <w:p>
            <w:pPr>
              <w:spacing w:after="0" w:before="0"/>
            </w:pPr>
            <w:r>
              <w:rPr>
                <w:sz w:val="15"/>
              </w:rPr>
              <w:t>D3 with D1/D2 antecedents</w:t>
            </w:r>
          </w:p>
        </w:tc>
        <w:tc>
          <w:tcPr>
            <w:tcW w:type="dxa" w:w="1184"/>
            <w:vAlign w:val="top"/>
          </w:tcPr>
          <w:p>
            <w:pPr>
              <w:spacing w:after="0" w:before="0"/>
            </w:pPr>
            <w:r>
              <w:rPr>
                <w:sz w:val="15"/>
              </w:rPr>
              <w:t>Add / Tier 1</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Treat material purpose divergence as a separate legitimacy event rather than silent reuse.</w:t>
            </w:r>
          </w:p>
        </w:tc>
      </w:tr>
      <w:tr>
        <w:trPr>
          <w:cantSplit/>
        </w:trPr>
        <w:tc>
          <w:tcPr>
            <w:tcW w:type="dxa" w:w="1184"/>
            <w:vAlign w:val="top"/>
          </w:tcPr>
          <w:p>
            <w:pPr>
              <w:spacing w:after="0" w:before="0"/>
            </w:pPr>
            <w:r>
              <w:rPr>
                <w:sz w:val="15"/>
              </w:rPr>
              <w:t>P-41</w:t>
            </w:r>
          </w:p>
        </w:tc>
        <w:tc>
          <w:tcPr>
            <w:tcW w:type="dxa" w:w="1184"/>
            <w:vAlign w:val="top"/>
          </w:tcPr>
          <w:p>
            <w:pPr>
              <w:spacing w:after="0" w:before="0"/>
            </w:pPr>
            <w:r>
              <w:rPr>
                <w:sz w:val="15"/>
              </w:rPr>
              <w:t>Informational Justification Levels</w:t>
            </w:r>
          </w:p>
        </w:tc>
        <w:tc>
          <w:tcPr>
            <w:tcW w:type="dxa" w:w="1184"/>
            <w:vAlign w:val="top"/>
          </w:tcPr>
          <w:p>
            <w:pPr>
              <w:spacing w:after="0" w:before="0"/>
            </w:pPr>
            <w:r>
              <w:rPr>
                <w:sz w:val="15"/>
              </w:rPr>
              <w:t>FC classifies informational justification as IJ-1 Purpose-Constitutive, IJ-2 Purpose-Protective, IJ-3 Purpose-Divergent, and IJ-4 Purpose-Generalized. Increasing divergence from the originating relationship and purpose requires correspondingly stronger, more particular, and independently reviewable justification.</w:t>
            </w:r>
          </w:p>
        </w:tc>
        <w:tc>
          <w:tcPr>
            <w:tcW w:type="dxa" w:w="1184"/>
            <w:vAlign w:val="top"/>
          </w:tcPr>
          <w:p>
            <w:pPr>
              <w:spacing w:after="0" w:before="0"/>
            </w:pPr>
            <w:r>
              <w:rPr>
                <w:sz w:val="15"/>
              </w:rPr>
              <w:t>FC Version 2.2 Purpose-Divergence doctrine; particularity, purpose-limitation, and necessity antecedents</w:t>
            </w:r>
          </w:p>
        </w:tc>
        <w:tc>
          <w:tcPr>
            <w:tcW w:type="dxa" w:w="1184"/>
            <w:vAlign w:val="top"/>
          </w:tcPr>
          <w:p>
            <w:pPr>
              <w:spacing w:after="0" w:before="0"/>
            </w:pPr>
            <w:r>
              <w:rPr>
                <w:sz w:val="15"/>
              </w:rPr>
              <w:t>The four-level taxonomy is FC's proposed control method, not an established legal classification.</w:t>
            </w:r>
          </w:p>
        </w:tc>
        <w:tc>
          <w:tcPr>
            <w:tcW w:type="dxa" w:w="1184"/>
            <w:vAlign w:val="top"/>
          </w:tcPr>
          <w:p>
            <w:pPr>
              <w:spacing w:after="0" w:before="0"/>
            </w:pPr>
            <w:r>
              <w:rPr>
                <w:sz w:val="15"/>
              </w:rPr>
              <w:t>D3</w:t>
            </w:r>
          </w:p>
        </w:tc>
        <w:tc>
          <w:tcPr>
            <w:tcW w:type="dxa" w:w="1184"/>
            <w:vAlign w:val="top"/>
          </w:tcPr>
          <w:p>
            <w:pPr>
              <w:spacing w:after="0" w:before="0"/>
            </w:pPr>
            <w:r>
              <w:rPr>
                <w:sz w:val="15"/>
              </w:rPr>
              <w:t>Add / core</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IJ-1 through IJ-4 classify divergence; Structural Least Power precedes IJ analysis.</w:t>
            </w:r>
          </w:p>
        </w:tc>
      </w:tr>
      <w:tr>
        <w:trPr>
          <w:cantSplit/>
        </w:trPr>
        <w:tc>
          <w:tcPr>
            <w:tcW w:type="dxa" w:w="1184"/>
            <w:vAlign w:val="top"/>
          </w:tcPr>
          <w:p>
            <w:pPr>
              <w:spacing w:after="0" w:before="0"/>
            </w:pPr>
            <w:r>
              <w:rPr>
                <w:sz w:val="15"/>
              </w:rPr>
              <w:t>P-42</w:t>
            </w:r>
          </w:p>
        </w:tc>
        <w:tc>
          <w:tcPr>
            <w:tcW w:type="dxa" w:w="1184"/>
            <w:vAlign w:val="top"/>
          </w:tcPr>
          <w:p>
            <w:pPr>
              <w:spacing w:after="0" w:before="0"/>
            </w:pPr>
            <w:r>
              <w:rPr>
                <w:sz w:val="15"/>
              </w:rPr>
              <w:t>Anti-Abstraction / Anti-Purpose-Laundering</w:t>
            </w:r>
          </w:p>
        </w:tc>
        <w:tc>
          <w:tcPr>
            <w:tcW w:type="dxa" w:w="1184"/>
            <w:vAlign w:val="top"/>
          </w:tcPr>
          <w:p>
            <w:pPr>
              <w:spacing w:after="0" w:before="0"/>
            </w:pPr>
            <w:r>
              <w:rPr>
                <w:sz w:val="15"/>
              </w:rPr>
              <w:t>Government may not justify materially broader informational power by abstracting a specific function into a generalized label such as public safety, fraud prevention, program integrity, efficiency, analytics, or citizen services. Purpose must remain particular enough to constrain power.</w:t>
            </w:r>
          </w:p>
        </w:tc>
        <w:tc>
          <w:tcPr>
            <w:tcW w:type="dxa" w:w="1184"/>
            <w:vAlign w:val="top"/>
          </w:tcPr>
          <w:p>
            <w:pPr>
              <w:spacing w:after="0" w:before="0"/>
            </w:pPr>
            <w:r>
              <w:rPr>
                <w:sz w:val="15"/>
              </w:rPr>
              <w:t>General-warrant and particularity history; Privacy Act purpose rules; Chatrie; FC Version 2.2</w:t>
            </w:r>
          </w:p>
        </w:tc>
        <w:tc>
          <w:tcPr>
            <w:tcW w:type="dxa" w:w="1184"/>
            <w:vAlign w:val="top"/>
          </w:tcPr>
          <w:p>
            <w:pPr>
              <w:spacing w:after="0" w:before="0"/>
            </w:pPr>
            <w:r>
              <w:rPr>
                <w:sz w:val="15"/>
              </w:rPr>
              <w:t>Government programs are often necessarily framed by broad objectives, and not every broad mission statement is legally defective.</w:t>
            </w:r>
          </w:p>
        </w:tc>
        <w:tc>
          <w:tcPr>
            <w:tcW w:type="dxa" w:w="1184"/>
            <w:vAlign w:val="top"/>
          </w:tcPr>
          <w:p>
            <w:pPr>
              <w:spacing w:after="0" w:before="0"/>
            </w:pPr>
            <w:r>
              <w:rPr>
                <w:sz w:val="15"/>
              </w:rPr>
              <w:t>D2/D3; D4 if converted into categorical constitutional rule</w:t>
            </w:r>
          </w:p>
        </w:tc>
        <w:tc>
          <w:tcPr>
            <w:tcW w:type="dxa" w:w="1184"/>
            <w:vAlign w:val="top"/>
          </w:tcPr>
          <w:p>
            <w:pPr>
              <w:spacing w:after="0" w:before="0"/>
            </w:pPr>
            <w:r>
              <w:rPr>
                <w:sz w:val="15"/>
              </w:rPr>
              <w:t>Add / Tier 1</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Broad labels cannot by themselves answer who, what, data domains, operations, consequences, duration, or authority transition.</w:t>
            </w:r>
          </w:p>
        </w:tc>
      </w:tr>
      <w:tr>
        <w:trPr>
          <w:cantSplit/>
        </w:trPr>
        <w:tc>
          <w:tcPr>
            <w:tcW w:type="dxa" w:w="1184"/>
            <w:vAlign w:val="top"/>
          </w:tcPr>
          <w:p>
            <w:pPr>
              <w:spacing w:after="0" w:before="0"/>
            </w:pPr>
            <w:r>
              <w:rPr>
                <w:sz w:val="15"/>
              </w:rPr>
              <w:t>P-43</w:t>
            </w:r>
          </w:p>
        </w:tc>
        <w:tc>
          <w:tcPr>
            <w:tcW w:type="dxa" w:w="1184"/>
            <w:vAlign w:val="top"/>
          </w:tcPr>
          <w:p>
            <w:pPr>
              <w:spacing w:after="0" w:before="0"/>
            </w:pPr>
            <w:r>
              <w:rPr>
                <w:sz w:val="15"/>
              </w:rPr>
              <w:t>Conformance Non-Usurpation</w:t>
            </w:r>
          </w:p>
        </w:tc>
        <w:tc>
          <w:tcPr>
            <w:tcW w:type="dxa" w:w="1184"/>
            <w:vAlign w:val="top"/>
          </w:tcPr>
          <w:p>
            <w:pPr>
              <w:spacing w:after="0" w:before="0"/>
            </w:pPr>
            <w:r>
              <w:rPr>
                <w:sz w:val="15"/>
              </w:rPr>
              <w:t>FCGIAS, conformance tests, technical standards, procurement specifications, and administrative rules do not independently create governmental informational authority. Binding obligations arise only through competent legal incorporation, while controlling law remains supreme.</w:t>
            </w:r>
          </w:p>
        </w:tc>
        <w:tc>
          <w:tcPr>
            <w:tcW w:type="dxa" w:w="1184"/>
            <w:vAlign w:val="top"/>
          </w:tcPr>
          <w:p>
            <w:pPr>
              <w:spacing w:after="0" w:before="0"/>
            </w:pPr>
            <w:r>
              <w:rPr>
                <w:sz w:val="15"/>
              </w:rPr>
              <w:t>Louisiana Pub. Serv. Comm'n v. FCC and ordinary delegated-authority principles; FCGIAS 2.2</w:t>
            </w:r>
          </w:p>
        </w:tc>
        <w:tc>
          <w:tcPr>
            <w:tcW w:type="dxa" w:w="1184"/>
            <w:vAlign w:val="top"/>
          </w:tcPr>
          <w:p>
            <w:pPr>
              <w:spacing w:after="0" w:before="0"/>
            </w:pPr>
            <w:r>
              <w:rPr>
                <w:sz w:val="15"/>
              </w:rPr>
              <w:t>Standards may become binding when lawfully incorporated by statute, regulation, procurement, or contract.</w:t>
            </w:r>
          </w:p>
        </w:tc>
        <w:tc>
          <w:tcPr>
            <w:tcW w:type="dxa" w:w="1184"/>
            <w:vAlign w:val="top"/>
          </w:tcPr>
          <w:p>
            <w:pPr>
              <w:spacing w:after="0" w:before="0"/>
            </w:pPr>
            <w:r>
              <w:rPr>
                <w:sz w:val="15"/>
              </w:rPr>
              <w:t>D1 legal-authority rule + D3 FC institutional rule</w:t>
            </w:r>
          </w:p>
        </w:tc>
        <w:tc>
          <w:tcPr>
            <w:tcW w:type="dxa" w:w="1184"/>
            <w:vAlign w:val="top"/>
          </w:tcPr>
          <w:p>
            <w:pPr>
              <w:spacing w:after="0" w:before="0"/>
            </w:pPr>
            <w:r>
              <w:rPr>
                <w:sz w:val="15"/>
              </w:rPr>
              <w:t>Add / foundational</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Technical standards and audits do not bootstrap substantive governmental informational authority.</w:t>
            </w:r>
          </w:p>
        </w:tc>
      </w:tr>
      <w:tr>
        <w:trPr>
          <w:cantSplit/>
        </w:trPr>
        <w:tc>
          <w:tcPr>
            <w:tcW w:type="dxa" w:w="1184"/>
            <w:vAlign w:val="top"/>
          </w:tcPr>
          <w:p>
            <w:pPr>
              <w:spacing w:after="0" w:before="0"/>
            </w:pPr>
            <w:r>
              <w:rPr>
                <w:sz w:val="15"/>
              </w:rPr>
              <w:t>P-44</w:t>
            </w:r>
          </w:p>
        </w:tc>
        <w:tc>
          <w:tcPr>
            <w:tcW w:type="dxa" w:w="1184"/>
            <w:vAlign w:val="top"/>
          </w:tcPr>
          <w:p>
            <w:pPr>
              <w:spacing w:after="0" w:before="0"/>
            </w:pPr>
            <w:r>
              <w:rPr>
                <w:sz w:val="15"/>
              </w:rPr>
              <w:t>Express Democratic Departure</w:t>
            </w:r>
          </w:p>
        </w:tc>
        <w:tc>
          <w:tcPr>
            <w:tcW w:type="dxa" w:w="1184"/>
            <w:vAlign w:val="top"/>
          </w:tcPr>
          <w:p>
            <w:pPr>
              <w:spacing w:after="0" w:before="0"/>
            </w:pPr>
            <w:r>
              <w:rPr>
                <w:sz w:val="15"/>
              </w:rPr>
              <w:t>A legislature may expressly choose a materially different informational rule within constitutional limits, but generalized grants of governmental function should not by implication repeal, waive, or satisfy a more specific FC informational-legitimacy requirement once enacted.</w:t>
            </w:r>
          </w:p>
        </w:tc>
        <w:tc>
          <w:tcPr>
            <w:tcW w:type="dxa" w:w="1184"/>
            <w:vAlign w:val="top"/>
          </w:tcPr>
          <w:p>
            <w:pPr>
              <w:spacing w:after="0" w:before="0"/>
            </w:pPr>
            <w:r>
              <w:rPr>
                <w:sz w:val="15"/>
              </w:rPr>
              <w:t>Legislative supremacy within constitutional bounds; FC Model Acts Version 2.2; FCGIAS 2.2</w:t>
            </w:r>
          </w:p>
        </w:tc>
        <w:tc>
          <w:tcPr>
            <w:tcW w:type="dxa" w:w="1184"/>
            <w:vAlign w:val="top"/>
          </w:tcPr>
          <w:p>
            <w:pPr>
              <w:spacing w:after="0" w:before="0"/>
            </w:pPr>
            <w:r>
              <w:rPr>
                <w:sz w:val="15"/>
              </w:rPr>
              <w:t>Legislatures can validly authorize broad information powers, subject to constitutional and other superior-law constraints.</w:t>
            </w:r>
          </w:p>
        </w:tc>
        <w:tc>
          <w:tcPr>
            <w:tcW w:type="dxa" w:w="1184"/>
            <w:vAlign w:val="top"/>
          </w:tcPr>
          <w:p>
            <w:pPr>
              <w:spacing w:after="0" w:before="0"/>
            </w:pPr>
            <w:r>
              <w:rPr>
                <w:sz w:val="15"/>
              </w:rPr>
              <w:t>D3 institutional construction rule</w:t>
            </w:r>
          </w:p>
        </w:tc>
        <w:tc>
          <w:tcPr>
            <w:tcW w:type="dxa" w:w="1184"/>
            <w:vAlign w:val="top"/>
          </w:tcPr>
          <w:p>
            <w:pPr>
              <w:spacing w:after="0" w:before="0"/>
            </w:pPr>
            <w:r>
              <w:rPr>
                <w:sz w:val="15"/>
              </w:rPr>
              <w:t>Add / core</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An FC assessor records an express departure rather than pretending a valid enactment does not exist; constitutional issues remain separate.</w:t>
            </w:r>
          </w:p>
        </w:tc>
      </w:tr>
      <w:tr>
        <w:trPr>
          <w:cantSplit/>
        </w:trPr>
        <w:tc>
          <w:tcPr>
            <w:tcW w:type="dxa" w:w="1184"/>
            <w:vAlign w:val="top"/>
          </w:tcPr>
          <w:p>
            <w:pPr>
              <w:spacing w:after="0" w:before="0"/>
            </w:pPr>
            <w:r>
              <w:rPr>
                <w:sz w:val="15"/>
              </w:rPr>
              <w:t>P-45</w:t>
            </w:r>
          </w:p>
        </w:tc>
        <w:tc>
          <w:tcPr>
            <w:tcW w:type="dxa" w:w="1184"/>
            <w:vAlign w:val="top"/>
          </w:tcPr>
          <w:p>
            <w:pPr>
              <w:spacing w:after="0" w:before="0"/>
            </w:pPr>
            <w:r>
              <w:rPr>
                <w:sz w:val="15"/>
              </w:rPr>
              <w:t>Necessary Standing Informational Capability</w:t>
            </w:r>
          </w:p>
        </w:tc>
        <w:tc>
          <w:tcPr>
            <w:tcW w:type="dxa" w:w="1184"/>
            <w:vAlign w:val="top"/>
          </w:tcPr>
          <w:p>
            <w:pPr>
              <w:spacing w:after="0" w:before="0"/>
            </w:pPr>
            <w:r>
              <w:rPr>
                <w:sz w:val="15"/>
              </w:rPr>
              <w:t>Necessary Standing Informational Capability is the portion of Standing Legitimate Informational Authority that government reasonably needs to maintain as ordinary standing technical power to perform the legitimate standing function with required utility, reliability, security, accessibility, legal effectiveness, and continuity.</w:t>
            </w:r>
          </w:p>
        </w:tc>
        <w:tc>
          <w:tcPr>
            <w:tcW w:type="dxa" w:w="1184"/>
            <w:vAlign w:val="top"/>
          </w:tcPr>
          <w:p>
            <w:pPr>
              <w:spacing w:after="0" w:before="0"/>
            </w:pPr>
            <w:r>
              <w:rPr>
                <w:sz w:val="15"/>
              </w:rPr>
              <w:t>NIST SP 800-53 AC-6; NIST SP 800-207; IR-01; T-70; CF-79</w:t>
            </w:r>
          </w:p>
        </w:tc>
        <w:tc>
          <w:tcPr>
            <w:tcW w:type="dxa" w:w="1184"/>
            <w:vAlign w:val="top"/>
          </w:tcPr>
          <w:p>
            <w:pPr>
              <w:spacing w:after="0" w:before="0"/>
            </w:pPr>
            <w:r>
              <w:rPr>
                <w:sz w:val="15"/>
              </w:rPr>
              <w:t>Operational necessity is context dependent; resilience, continuity, safety, evidentiary, and emergency needs can require broader standby capability.</w:t>
            </w:r>
          </w:p>
        </w:tc>
        <w:tc>
          <w:tcPr>
            <w:tcW w:type="dxa" w:w="1184"/>
            <w:vAlign w:val="top"/>
          </w:tcPr>
          <w:p>
            <w:pPr>
              <w:spacing w:after="0" w:before="0"/>
            </w:pPr>
            <w:r>
              <w:rPr>
                <w:sz w:val="15"/>
              </w:rPr>
              <w:t>D3 with strong technical antecedents</w:t>
            </w:r>
          </w:p>
        </w:tc>
        <w:tc>
          <w:tcPr>
            <w:tcW w:type="dxa" w:w="1184"/>
            <w:vAlign w:val="top"/>
          </w:tcPr>
          <w:p>
            <w:pPr>
              <w:spacing w:after="0" w:before="0"/>
            </w:pPr>
            <w:r>
              <w:rPr>
                <w:sz w:val="15"/>
              </w:rPr>
              <w:t>Add / Tier 1</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Determine what must actually remain available in the ordinary state after legitimate authority is identified.</w:t>
            </w:r>
          </w:p>
        </w:tc>
      </w:tr>
      <w:tr>
        <w:trPr>
          <w:cantSplit/>
        </w:trPr>
        <w:tc>
          <w:tcPr>
            <w:tcW w:type="dxa" w:w="1184"/>
            <w:vAlign w:val="top"/>
          </w:tcPr>
          <w:p>
            <w:pPr>
              <w:spacing w:after="0" w:before="0"/>
            </w:pPr>
            <w:r>
              <w:rPr>
                <w:sz w:val="15"/>
              </w:rPr>
              <w:t>P-46</w:t>
            </w:r>
          </w:p>
        </w:tc>
        <w:tc>
          <w:tcPr>
            <w:tcW w:type="dxa" w:w="1184"/>
            <w:vAlign w:val="top"/>
          </w:tcPr>
          <w:p>
            <w:pPr>
              <w:spacing w:after="0" w:before="0"/>
            </w:pPr>
            <w:r>
              <w:rPr>
                <w:sz w:val="15"/>
              </w:rPr>
              <w:t>Structural Least Power</w:t>
            </w:r>
          </w:p>
        </w:tc>
        <w:tc>
          <w:tcPr>
            <w:tcW w:type="dxa" w:w="1184"/>
            <w:vAlign w:val="top"/>
          </w:tcPr>
          <w:p>
            <w:pPr>
              <w:spacing w:after="0" w:before="0"/>
            </w:pPr>
            <w:r>
              <w:rPr>
                <w:sz w:val="15"/>
              </w:rPr>
              <w:t>Before applying graduated informational justification, government should determine whether a materially less informationally powerful architecture can reasonably perform the same legitimate standing function. If so, the broader ordinary standing capability is presumptively nonconforming unless government demonstrates that the broader capability itself is reasonably necessary.</w:t>
            </w:r>
          </w:p>
        </w:tc>
        <w:tc>
          <w:tcPr>
            <w:tcW w:type="dxa" w:w="1184"/>
            <w:vAlign w:val="top"/>
          </w:tcPr>
          <w:p>
            <w:pPr>
              <w:spacing w:after="0" w:before="0"/>
            </w:pPr>
            <w:r>
              <w:rPr>
                <w:sz w:val="15"/>
              </w:rPr>
              <w:t>NIST least privilege; Zero Trust; Privacy by Design; IR-01; T-70; CF-79; SD-13</w:t>
            </w:r>
          </w:p>
        </w:tc>
        <w:tc>
          <w:tcPr>
            <w:tcW w:type="dxa" w:w="1184"/>
            <w:vAlign w:val="top"/>
          </w:tcPr>
          <w:p>
            <w:pPr>
              <w:spacing w:after="0" w:before="0"/>
            </w:pPr>
            <w:r>
              <w:rPr>
                <w:sz w:val="15"/>
              </w:rPr>
              <w:t>Narrower designs may impose unacceptable costs, latency, failure modes, security risks, accessibility barriers, or continuity problems.</w:t>
            </w:r>
          </w:p>
        </w:tc>
        <w:tc>
          <w:tcPr>
            <w:tcW w:type="dxa" w:w="1184"/>
            <w:vAlign w:val="top"/>
          </w:tcPr>
          <w:p>
            <w:pPr>
              <w:spacing w:after="0" w:before="0"/>
            </w:pPr>
            <w:r>
              <w:rPr>
                <w:sz w:val="15"/>
              </w:rPr>
              <w:t>D3</w:t>
            </w:r>
          </w:p>
        </w:tc>
        <w:tc>
          <w:tcPr>
            <w:tcW w:type="dxa" w:w="1184"/>
            <w:vAlign w:val="top"/>
          </w:tcPr>
          <w:p>
            <w:pPr>
              <w:spacing w:after="0" w:before="0"/>
            </w:pPr>
            <w:r>
              <w:rPr>
                <w:sz w:val="15"/>
              </w:rPr>
              <w:t>Add / Tier 1</w:t>
            </w:r>
          </w:p>
        </w:tc>
        <w:tc>
          <w:tcPr>
            <w:tcW w:type="dxa" w:w="1184"/>
            <w:vAlign w:val="top"/>
          </w:tcPr>
          <w:p>
            <w:pPr>
              <w:spacing w:after="0" w:before="0"/>
            </w:pPr>
            <w:r>
              <w:rPr>
                <w:sz w:val="15"/>
              </w:rPr>
              <w:t>Integrated; paragraph 117 uses older 'structural preference' wording and should be conformed to Structural Least Power terminology.</w:t>
            </w:r>
          </w:p>
        </w:tc>
        <w:tc>
          <w:tcPr>
            <w:tcW w:type="dxa" w:w="1184"/>
            <w:vAlign w:val="top"/>
          </w:tcPr>
          <w:p>
            <w:pPr>
              <w:spacing w:after="0" w:before="0"/>
            </w:pPr>
            <w:r>
              <w:rPr>
                <w:sz w:val="15"/>
              </w:rPr>
              <w:t>Ask for a materially less informationally powerful architecture first. Broader capability requires a necessity showing, not merely utility.</w:t>
            </w:r>
          </w:p>
        </w:tc>
      </w:tr>
      <w:tr>
        <w:trPr>
          <w:cantSplit/>
        </w:trPr>
        <w:tc>
          <w:tcPr>
            <w:tcW w:type="dxa" w:w="1184"/>
            <w:vAlign w:val="top"/>
          </w:tcPr>
          <w:p>
            <w:pPr>
              <w:spacing w:after="0" w:before="0"/>
            </w:pPr>
            <w:r>
              <w:rPr>
                <w:sz w:val="15"/>
              </w:rPr>
              <w:t>P-47</w:t>
            </w:r>
          </w:p>
        </w:tc>
        <w:tc>
          <w:tcPr>
            <w:tcW w:type="dxa" w:w="1184"/>
            <w:vAlign w:val="top"/>
          </w:tcPr>
          <w:p>
            <w:pPr>
              <w:spacing w:after="0" w:before="0"/>
            </w:pPr>
            <w:r>
              <w:rPr>
                <w:sz w:val="15"/>
              </w:rPr>
              <w:t>Unnecessary Standing Capability</w:t>
            </w:r>
          </w:p>
        </w:tc>
        <w:tc>
          <w:tcPr>
            <w:tcW w:type="dxa" w:w="1184"/>
            <w:vAlign w:val="top"/>
          </w:tcPr>
          <w:p>
            <w:pPr>
              <w:spacing w:after="0" w:before="0"/>
            </w:pPr>
            <w:r>
              <w:rPr>
                <w:sz w:val="15"/>
              </w:rPr>
              <w:t>A material ordinary standing capability can be nonconforming even though it remains within the outer boundary of Standing Legitimate Informational Authority when it materially exceeds Necessary Standing Informational Capability.</w:t>
            </w:r>
          </w:p>
        </w:tc>
        <w:tc>
          <w:tcPr>
            <w:tcW w:type="dxa" w:w="1184"/>
            <w:vAlign w:val="top"/>
          </w:tcPr>
          <w:p>
            <w:pPr>
              <w:spacing w:after="0" w:before="0"/>
            </w:pPr>
            <w:r>
              <w:rPr>
                <w:sz w:val="15"/>
              </w:rPr>
              <w:t>IR-01; SD-13; ACCP; least-privilege analogies</w:t>
            </w:r>
          </w:p>
        </w:tc>
        <w:tc>
          <w:tcPr>
            <w:tcW w:type="dxa" w:w="1184"/>
            <w:vAlign w:val="top"/>
          </w:tcPr>
          <w:p>
            <w:pPr>
              <w:spacing w:after="0" w:before="0"/>
            </w:pPr>
            <w:r>
              <w:rPr>
                <w:sz w:val="15"/>
              </w:rPr>
              <w:t>Current positive law may permit unused or dormant capability and may focus on misuse rather than possession.</w:t>
            </w:r>
          </w:p>
        </w:tc>
        <w:tc>
          <w:tcPr>
            <w:tcW w:type="dxa" w:w="1184"/>
            <w:vAlign w:val="top"/>
          </w:tcPr>
          <w:p>
            <w:pPr>
              <w:spacing w:after="0" w:before="0"/>
            </w:pPr>
            <w:r>
              <w:rPr>
                <w:sz w:val="15"/>
              </w:rPr>
              <w:t>D3; D4 if asserted as per se constitutional defect</w:t>
            </w:r>
          </w:p>
        </w:tc>
        <w:tc>
          <w:tcPr>
            <w:tcW w:type="dxa" w:w="1184"/>
            <w:vAlign w:val="top"/>
          </w:tcPr>
          <w:p>
            <w:pPr>
              <w:spacing w:after="0" w:before="0"/>
            </w:pPr>
            <w:r>
              <w:rPr>
                <w:sz w:val="15"/>
              </w:rPr>
              <w:t>Add / Tier 1</w:t>
            </w:r>
          </w:p>
        </w:tc>
        <w:tc>
          <w:tcPr>
            <w:tcW w:type="dxa" w:w="1184"/>
            <w:vAlign w:val="top"/>
          </w:tcPr>
          <w:p>
            <w:pPr>
              <w:spacing w:after="0" w:before="0"/>
            </w:pPr>
            <w:r>
              <w:rPr>
                <w:sz w:val="15"/>
              </w:rPr>
              <w:t>Integrated; paragraph 117 should avoid suggesting compensating controls can cure capability that is avoidably unnecessary.</w:t>
            </w:r>
          </w:p>
        </w:tc>
        <w:tc>
          <w:tcPr>
            <w:tcW w:type="dxa" w:w="1184"/>
            <w:vAlign w:val="top"/>
          </w:tcPr>
          <w:p>
            <w:pPr>
              <w:spacing w:after="0" w:before="0"/>
            </w:pPr>
            <w:r>
              <w:rPr>
                <w:sz w:val="15"/>
              </w:rPr>
              <w:t>Legitimate potential use does not automatically justify permanent ordinary standing availability.</w:t>
            </w:r>
          </w:p>
        </w:tc>
      </w:tr>
      <w:tr>
        <w:trPr>
          <w:cantSplit/>
        </w:trPr>
        <w:tc>
          <w:tcPr>
            <w:tcW w:type="dxa" w:w="1184"/>
            <w:vAlign w:val="top"/>
          </w:tcPr>
          <w:p>
            <w:pPr>
              <w:spacing w:after="0" w:before="0"/>
            </w:pPr>
            <w:r>
              <w:rPr>
                <w:sz w:val="15"/>
              </w:rPr>
              <w:t>P-48</w:t>
            </w:r>
          </w:p>
        </w:tc>
        <w:tc>
          <w:tcPr>
            <w:tcW w:type="dxa" w:w="1184"/>
            <w:vAlign w:val="top"/>
          </w:tcPr>
          <w:p>
            <w:pPr>
              <w:spacing w:after="0" w:before="0"/>
            </w:pPr>
            <w:r>
              <w:rPr>
                <w:sz w:val="15"/>
              </w:rPr>
              <w:t>No Phone Home as canonical Structural Least-Power case</w:t>
            </w:r>
          </w:p>
        </w:tc>
        <w:tc>
          <w:tcPr>
            <w:tcW w:type="dxa" w:w="1184"/>
            <w:vAlign w:val="top"/>
          </w:tcPr>
          <w:p>
            <w:pPr>
              <w:spacing w:after="0" w:before="0"/>
            </w:pPr>
            <w:r>
              <w:rPr>
                <w:sz w:val="15"/>
              </w:rPr>
              <w:t>Where verification can occur without an issuer, identity provider, intermediary, or unrelated governmental actor observing the transaction or acquiring materially additional information, unnecessary observational capability should be technically unavailable unless an independent legitimate function establishes its necessity.</w:t>
            </w:r>
          </w:p>
        </w:tc>
        <w:tc>
          <w:tcPr>
            <w:tcW w:type="dxa" w:w="1184"/>
            <w:vAlign w:val="top"/>
          </w:tcPr>
          <w:p>
            <w:pPr>
              <w:spacing w:after="0" w:before="0"/>
            </w:pPr>
            <w:r>
              <w:rPr>
                <w:sz w:val="15"/>
              </w:rPr>
              <w:t>2023-24 Verifiable Government lineage; DHS decentralized-identity guidance; NIST federation/derived-attribute guidance; FC No Phone Home</w:t>
            </w:r>
          </w:p>
        </w:tc>
        <w:tc>
          <w:tcPr>
            <w:tcW w:type="dxa" w:w="1184"/>
            <w:vAlign w:val="top"/>
          </w:tcPr>
          <w:p>
            <w:pPr>
              <w:spacing w:after="0" w:before="0"/>
            </w:pPr>
            <w:r>
              <w:rPr>
                <w:sz w:val="15"/>
              </w:rPr>
              <w:t>Revocation, fraud, recovery, audit, and ecosystem-governance functions may require bounded observability.</w:t>
            </w:r>
          </w:p>
        </w:tc>
        <w:tc>
          <w:tcPr>
            <w:tcW w:type="dxa" w:w="1184"/>
            <w:vAlign w:val="top"/>
          </w:tcPr>
          <w:p>
            <w:pPr>
              <w:spacing w:after="0" w:before="0"/>
            </w:pPr>
            <w:r>
              <w:rPr>
                <w:sz w:val="15"/>
              </w:rPr>
              <w:t>D3 architecture with established technical antecedents</w:t>
            </w:r>
          </w:p>
        </w:tc>
        <w:tc>
          <w:tcPr>
            <w:tcW w:type="dxa" w:w="1184"/>
            <w:vAlign w:val="top"/>
          </w:tcPr>
          <w:p>
            <w:pPr>
              <w:spacing w:after="0" w:before="0"/>
            </w:pPr>
            <w:r>
              <w:rPr>
                <w:sz w:val="15"/>
              </w:rPr>
              <w:t>Add / core</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Treat metadata and observability as informational power. Preserve independently necessary bounded status functions.</w:t>
            </w:r>
          </w:p>
        </w:tc>
      </w:tr>
      <w:tr>
        <w:trPr>
          <w:cantSplit/>
        </w:trPr>
        <w:tc>
          <w:tcPr>
            <w:tcW w:type="dxa" w:w="1184"/>
            <w:vAlign w:val="top"/>
          </w:tcPr>
          <w:p>
            <w:pPr>
              <w:spacing w:after="0" w:before="0"/>
            </w:pPr>
            <w:r>
              <w:rPr>
                <w:sz w:val="15"/>
              </w:rPr>
              <w:t>P-49</w:t>
            </w:r>
          </w:p>
        </w:tc>
        <w:tc>
          <w:tcPr>
            <w:tcW w:type="dxa" w:w="1184"/>
            <w:vAlign w:val="top"/>
          </w:tcPr>
          <w:p>
            <w:pPr>
              <w:spacing w:after="0" w:before="0"/>
            </w:pPr>
            <w:r>
              <w:rPr>
                <w:sz w:val="15"/>
              </w:rPr>
              <w:t>Authority is ceiling, not capability specification</w:t>
            </w:r>
          </w:p>
        </w:tc>
        <w:tc>
          <w:tcPr>
            <w:tcW w:type="dxa" w:w="1184"/>
            <w:vAlign w:val="top"/>
          </w:tcPr>
          <w:p>
            <w:pPr>
              <w:spacing w:after="0" w:before="0"/>
            </w:pPr>
            <w:r>
              <w:rPr>
                <w:sz w:val="15"/>
              </w:rPr>
              <w:t>The outer boundary of legitimate governmental informational authority defines what government may legitimately become capable of doing under the relevant standing conditions; it does not specify the maximum capability government should procure, deploy, or keep continuously available.</w:t>
            </w:r>
          </w:p>
        </w:tc>
        <w:tc>
          <w:tcPr>
            <w:tcW w:type="dxa" w:w="1184"/>
            <w:vAlign w:val="top"/>
          </w:tcPr>
          <w:p>
            <w:pPr>
              <w:spacing w:after="0" w:before="0"/>
            </w:pPr>
            <w:r>
              <w:rPr>
                <w:sz w:val="15"/>
              </w:rPr>
              <w:t>FC Version 2.2; IR-01; NIST least-privilege analogy</w:t>
            </w:r>
          </w:p>
        </w:tc>
        <w:tc>
          <w:tcPr>
            <w:tcW w:type="dxa" w:w="1184"/>
            <w:vAlign w:val="top"/>
          </w:tcPr>
          <w:p>
            <w:pPr>
              <w:spacing w:after="0" w:before="0"/>
            </w:pPr>
            <w:r>
              <w:rPr>
                <w:sz w:val="15"/>
              </w:rPr>
              <w:t>Traditional legal analysis often treats the scope of legal authorization as the principal limit and does not independently minimize latent system capability.</w:t>
            </w:r>
          </w:p>
        </w:tc>
        <w:tc>
          <w:tcPr>
            <w:tcW w:type="dxa" w:w="1184"/>
            <w:vAlign w:val="top"/>
          </w:tcPr>
          <w:p>
            <w:pPr>
              <w:spacing w:after="0" w:before="0"/>
            </w:pPr>
            <w:r>
              <w:rPr>
                <w:sz w:val="15"/>
              </w:rPr>
              <w:t>D3</w:t>
            </w:r>
          </w:p>
        </w:tc>
        <w:tc>
          <w:tcPr>
            <w:tcW w:type="dxa" w:w="1184"/>
            <w:vAlign w:val="top"/>
          </w:tcPr>
          <w:p>
            <w:pPr>
              <w:spacing w:after="0" w:before="0"/>
            </w:pPr>
            <w:r>
              <w:rPr>
                <w:sz w:val="15"/>
              </w:rPr>
              <w:t>Add / Tier 1</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Always ask both: what may government legitimately do, and what part of that power must remain available as standing capability?</w:t>
            </w:r>
          </w:p>
        </w:tc>
      </w:tr>
      <w:tr>
        <w:trPr>
          <w:cantSplit/>
        </w:trPr>
        <w:tc>
          <w:tcPr>
            <w:tcW w:type="dxa" w:w="1184"/>
            <w:vAlign w:val="top"/>
          </w:tcPr>
          <w:p>
            <w:pPr>
              <w:spacing w:after="0" w:before="0"/>
            </w:pPr>
            <w:r>
              <w:rPr>
                <w:sz w:val="15"/>
              </w:rPr>
              <w:t>P-50</w:t>
            </w:r>
          </w:p>
        </w:tc>
        <w:tc>
          <w:tcPr>
            <w:tcW w:type="dxa" w:w="1184"/>
            <w:vAlign w:val="top"/>
          </w:tcPr>
          <w:p>
            <w:pPr>
              <w:spacing w:after="0" w:before="0"/>
            </w:pPr>
            <w:r>
              <w:rPr>
                <w:sz w:val="15"/>
              </w:rPr>
              <w:t>Capability expansion and contraction</w:t>
            </w:r>
          </w:p>
        </w:tc>
        <w:tc>
          <w:tcPr>
            <w:tcW w:type="dxa" w:w="1184"/>
            <w:vAlign w:val="top"/>
          </w:tcPr>
          <w:p>
            <w:pPr>
              <w:spacing w:after="0" w:before="0"/>
            </w:pPr>
            <w:r>
              <w:rPr>
                <w:sz w:val="15"/>
              </w:rPr>
              <w:t>Standing informational capability should expand when both legitimate authority and functional necessity materially expand through a legally and substantively sufficient transition, and should contract when either the legitimate authority or ordinary necessity contracts.</w:t>
            </w:r>
          </w:p>
        </w:tc>
        <w:tc>
          <w:tcPr>
            <w:tcW w:type="dxa" w:w="1184"/>
            <w:vAlign w:val="top"/>
          </w:tcPr>
          <w:p>
            <w:pPr>
              <w:spacing w:after="0" w:before="0"/>
            </w:pPr>
            <w:r>
              <w:rPr>
                <w:sz w:val="15"/>
              </w:rPr>
              <w:t>FC V1.x state-transition architecture; access-control lifecycle analogies; FCGIAS 2.2</w:t>
            </w:r>
          </w:p>
        </w:tc>
        <w:tc>
          <w:tcPr>
            <w:tcW w:type="dxa" w:w="1184"/>
            <w:vAlign w:val="top"/>
          </w:tcPr>
          <w:p>
            <w:pPr>
              <w:spacing w:after="0" w:before="0"/>
            </w:pPr>
            <w:r>
              <w:rPr>
                <w:sz w:val="15"/>
              </w:rPr>
              <w:t>Some systems need durable standby capability and rapid emergency activation; contraction can impose transition and continuity costs.</w:t>
            </w:r>
          </w:p>
        </w:tc>
        <w:tc>
          <w:tcPr>
            <w:tcW w:type="dxa" w:w="1184"/>
            <w:vAlign w:val="top"/>
          </w:tcPr>
          <w:p>
            <w:pPr>
              <w:spacing w:after="0" w:before="0"/>
            </w:pPr>
            <w:r>
              <w:rPr>
                <w:sz w:val="15"/>
              </w:rPr>
              <w:t>D3</w:t>
            </w:r>
          </w:p>
        </w:tc>
        <w:tc>
          <w:tcPr>
            <w:tcW w:type="dxa" w:w="1184"/>
            <w:vAlign w:val="top"/>
          </w:tcPr>
          <w:p>
            <w:pPr>
              <w:spacing w:after="0" w:before="0"/>
            </w:pPr>
            <w:r>
              <w:rPr>
                <w:sz w:val="15"/>
              </w:rPr>
              <w:t>Add / core</w:t>
            </w:r>
          </w:p>
        </w:tc>
        <w:tc>
          <w:tcPr>
            <w:tcW w:type="dxa" w:w="1184"/>
            <w:vAlign w:val="top"/>
          </w:tcPr>
          <w:p>
            <w:pPr>
              <w:spacing w:after="0" w:before="0"/>
            </w:pPr>
            <w:r>
              <w:rPr>
                <w:sz w:val="15"/>
              </w:rPr>
              <w:t>Integrated / no material drift identified</w:t>
            </w:r>
          </w:p>
        </w:tc>
        <w:tc>
          <w:tcPr>
            <w:tcW w:type="dxa" w:w="1184"/>
            <w:vAlign w:val="top"/>
          </w:tcPr>
          <w:p>
            <w:pPr>
              <w:spacing w:after="0" w:before="0"/>
            </w:pPr>
            <w:r>
              <w:rPr>
                <w:sz w:val="15"/>
              </w:rPr>
              <w:t>Capability should expand and contract with both authority and necessity; check expiration, learned artifacts, preservation, and dormant permissions.</w:t>
            </w:r>
          </w:p>
        </w:tc>
      </w:tr>
      <w:tr>
        <w:trPr>
          <w:cantSplit/>
        </w:trPr>
        <w:tc>
          <w:tcPr>
            <w:tcW w:type="dxa" w:w="1184"/>
            <w:vAlign w:val="top"/>
          </w:tcPr>
          <w:p>
            <w:pPr>
              <w:spacing w:after="0" w:before="0"/>
            </w:pPr>
            <w:r>
              <w:rPr>
                <w:sz w:val="15"/>
              </w:rPr>
              <w:t>P-51</w:t>
            </w:r>
          </w:p>
        </w:tc>
        <w:tc>
          <w:tcPr>
            <w:tcW w:type="dxa" w:w="1184"/>
            <w:vAlign w:val="top"/>
          </w:tcPr>
          <w:p>
            <w:pPr>
              <w:spacing w:after="0" w:before="0"/>
            </w:pPr>
            <w:r>
              <w:rPr>
                <w:sz w:val="15"/>
              </w:rPr>
              <w:t>OIA / FC / FCGIAS hierarchy</w:t>
            </w:r>
          </w:p>
        </w:tc>
        <w:tc>
          <w:tcPr>
            <w:tcW w:type="dxa" w:w="1184"/>
            <w:vAlign w:val="top"/>
          </w:tcPr>
          <w:p>
            <w:pPr>
              <w:spacing w:after="0" w:before="0"/>
            </w:pPr>
            <w:r>
              <w:rPr>
                <w:sz w:val="15"/>
              </w:rPr>
              <w:t>Ordered Informational Authority is the general theory of legitimate allocation and constraint of informational power. Fiduciary Commons is the constitutional and fiduciary governance model applying OIA to governmental information relationships. FCGIAS is the technical and institutional architecture that makes those limits inspectable and enforceable.</w:t>
            </w:r>
          </w:p>
        </w:tc>
        <w:tc>
          <w:tcPr>
            <w:tcW w:type="dxa" w:w="1184"/>
            <w:vAlign w:val="top"/>
          </w:tcPr>
          <w:p>
            <w:pPr>
              <w:spacing w:after="0" w:before="0"/>
            </w:pPr>
            <w:r>
              <w:rPr>
                <w:sz w:val="15"/>
              </w:rPr>
              <w:t>FC V2.0-V2.2 development record; FCGIAS 2.2; Publication 2.1</w:t>
            </w:r>
          </w:p>
        </w:tc>
        <w:tc>
          <w:tcPr>
            <w:tcW w:type="dxa" w:w="1184"/>
            <w:vAlign w:val="top"/>
          </w:tcPr>
          <w:p>
            <w:pPr>
              <w:spacing w:after="0" w:before="0"/>
            </w:pPr>
            <w:r>
              <w:rPr>
                <w:sz w:val="15"/>
              </w:rPr>
              <w:t>The terms are FC's own architecture and do not correspond to a single existing legal taxonomy.</w:t>
            </w:r>
          </w:p>
        </w:tc>
        <w:tc>
          <w:tcPr>
            <w:tcW w:type="dxa" w:w="1184"/>
            <w:vAlign w:val="top"/>
          </w:tcPr>
          <w:p>
            <w:pPr>
              <w:spacing w:after="0" w:before="0"/>
            </w:pPr>
            <w:r>
              <w:rPr>
                <w:sz w:val="15"/>
              </w:rPr>
              <w:t>Methodological / D3</w:t>
            </w:r>
          </w:p>
        </w:tc>
        <w:tc>
          <w:tcPr>
            <w:tcW w:type="dxa" w:w="1184"/>
            <w:vAlign w:val="top"/>
          </w:tcPr>
          <w:p>
            <w:pPr>
              <w:spacing w:after="0" w:before="0"/>
            </w:pPr>
            <w:r>
              <w:rPr>
                <w:sz w:val="15"/>
              </w:rPr>
              <w:t>Add / foundational</w:t>
            </w:r>
          </w:p>
        </w:tc>
        <w:tc>
          <w:tcPr>
            <w:tcW w:type="dxa" w:w="1184"/>
            <w:vAlign w:val="top"/>
          </w:tcPr>
          <w:p>
            <w:pPr>
              <w:spacing w:after="0" w:before="0"/>
            </w:pPr>
            <w:r>
              <w:rPr>
                <w:sz w:val="15"/>
              </w:rPr>
              <w:t>Integrated expressly in Part VI and conclusion.</w:t>
            </w:r>
          </w:p>
        </w:tc>
        <w:tc>
          <w:tcPr>
            <w:tcW w:type="dxa" w:w="1184"/>
            <w:vAlign w:val="top"/>
          </w:tcPr>
          <w:p>
            <w:pPr>
              <w:spacing w:after="0" w:before="0"/>
            </w:pPr>
            <w:r>
              <w:rPr>
                <w:sz w:val="15"/>
              </w:rPr>
              <w:t>Keep OIA theory, FC governance model, and FCGIAS technical/institutional standard analytically distinct.</w:t>
            </w:r>
          </w:p>
        </w:tc>
      </w:tr>
    </w:tbl>
    <w:p>
      <w:pPr>
        <w:pStyle w:val="Heading1"/>
      </w:pPr>
      <w:r>
        <w:t>V. Revised Tier 1 Set</w:t>
      </w:r>
    </w:p>
    <w:p>
      <w:pPr>
        <w:pStyle w:val="ListBullet"/>
      </w:pPr>
      <w:r>
        <w:t>P-01 Facts and ownership</w:t>
      </w:r>
    </w:p>
    <w:p>
      <w:pPr>
        <w:pStyle w:val="ListBullet"/>
      </w:pPr>
      <w:r>
        <w:t>P-05A Founding-era fiduciary foundation</w:t>
      </w:r>
    </w:p>
    <w:p>
      <w:pPr>
        <w:pStyle w:val="ListBullet"/>
      </w:pPr>
      <w:r>
        <w:t>P-05B Fiduciary public authority</w:t>
      </w:r>
    </w:p>
    <w:p>
      <w:pPr>
        <w:pStyle w:val="ListBullet"/>
      </w:pPr>
      <w:r>
        <w:t>P-05C Informational fiduciary authority</w:t>
      </w:r>
    </w:p>
    <w:p>
      <w:pPr>
        <w:pStyle w:val="ListBullet"/>
      </w:pPr>
      <w:r>
        <w:t>P-05D Fiduciary authority-capability principle</w:t>
      </w:r>
    </w:p>
    <w:p>
      <w:pPr>
        <w:pStyle w:val="ListBullet"/>
      </w:pPr>
      <w:r>
        <w:t>P-08 Informational capability is power</w:t>
      </w:r>
    </w:p>
    <w:p>
      <w:pPr>
        <w:pStyle w:val="ListBullet"/>
      </w:pPr>
      <w:r>
        <w:t>P-10 Ordered Informational Authority</w:t>
      </w:r>
    </w:p>
    <w:p>
      <w:pPr>
        <w:pStyle w:val="ListBullet"/>
      </w:pPr>
      <w:r>
        <w:t>P-11 Generalized Informational Power</w:t>
      </w:r>
    </w:p>
    <w:p>
      <w:pPr>
        <w:pStyle w:val="ListBullet"/>
      </w:pPr>
      <w:r>
        <w:t>P-12 Functional equivalence</w:t>
      </w:r>
    </w:p>
    <w:p>
      <w:pPr>
        <w:pStyle w:val="ListBullet"/>
      </w:pPr>
      <w:r>
        <w:t>P-13 Standing vs authority-contingent capability</w:t>
      </w:r>
    </w:p>
    <w:p>
      <w:pPr>
        <w:pStyle w:val="ListBullet"/>
      </w:pPr>
      <w:r>
        <w:t>P-14 Materially renewed authority</w:t>
      </w:r>
    </w:p>
    <w:p>
      <w:pPr>
        <w:pStyle w:val="ListBullet"/>
      </w:pPr>
      <w:r>
        <w:t>P-16 Purpose Particularity</w:t>
      </w:r>
    </w:p>
    <w:p>
      <w:pPr>
        <w:pStyle w:val="ListBullet"/>
      </w:pPr>
      <w:r>
        <w:t>P-18 Least Informational Power</w:t>
      </w:r>
    </w:p>
    <w:p>
      <w:pPr>
        <w:pStyle w:val="ListBullet"/>
      </w:pPr>
      <w:r>
        <w:t>P-21 Decentralized Informational Authority</w:t>
      </w:r>
    </w:p>
    <w:p>
      <w:pPr>
        <w:pStyle w:val="ListBullet"/>
      </w:pPr>
      <w:r>
        <w:t>P-22 Functional decentralization</w:t>
      </w:r>
    </w:p>
    <w:p>
      <w:pPr>
        <w:pStyle w:val="ListBullet"/>
      </w:pPr>
      <w:r>
        <w:t>P-24 Structural Preference</w:t>
      </w:r>
    </w:p>
    <w:p>
      <w:pPr>
        <w:pStyle w:val="ListBullet"/>
      </w:pPr>
      <w:r>
        <w:t>P-25 ACCP</w:t>
      </w:r>
    </w:p>
    <w:p>
      <w:pPr>
        <w:pStyle w:val="ListBullet"/>
      </w:pPr>
      <w:r>
        <w:t>P-27 Federalism / jurisdictional non-aggregation</w:t>
      </w:r>
    </w:p>
    <w:p>
      <w:pPr>
        <w:pStyle w:val="ListBullet"/>
      </w:pPr>
      <w:r>
        <w:t>P-28 AI boundary inheritance</w:t>
      </w:r>
    </w:p>
    <w:p>
      <w:pPr>
        <w:pStyle w:val="ListBullet"/>
      </w:pPr>
      <w:r>
        <w:t>P-31 Vendor capability and conformance</w:t>
      </w:r>
    </w:p>
    <w:p>
      <w:pPr>
        <w:pStyle w:val="ListBullet"/>
      </w:pPr>
      <w:r>
        <w:t>P-32 Procure functions, not generalized capability</w:t>
      </w:r>
    </w:p>
    <w:p>
      <w:pPr>
        <w:pStyle w:val="ListBullet"/>
      </w:pPr>
      <w:r>
        <w:t>P-33 Chatrie architectural bridge</w:t>
      </w:r>
    </w:p>
    <w:p>
      <w:pPr>
        <w:pStyle w:val="ListBullet"/>
      </w:pPr>
      <w:r>
        <w:t>P-34 General-warrant structural analogy</w:t>
      </w:r>
    </w:p>
    <w:p>
      <w:pPr>
        <w:pStyle w:val="ListBullet"/>
      </w:pPr>
      <w:r>
        <w:t>P-36 Positive Legal Authority</w:t>
      </w:r>
    </w:p>
    <w:p>
      <w:pPr>
        <w:pStyle w:val="ListBullet"/>
      </w:pPr>
      <w:r>
        <w:t>P-37 Legitimate Informational Authority</w:t>
      </w:r>
    </w:p>
    <w:p>
      <w:pPr>
        <w:pStyle w:val="ListBullet"/>
      </w:pPr>
      <w:r>
        <w:t>P-38 Standing Legitimate Informational Authority</w:t>
      </w:r>
    </w:p>
    <w:p>
      <w:pPr>
        <w:pStyle w:val="ListBullet"/>
      </w:pPr>
      <w:r>
        <w:t>P-40 Purpose Divergence</w:t>
      </w:r>
    </w:p>
    <w:p>
      <w:pPr>
        <w:pStyle w:val="ListBullet"/>
      </w:pPr>
      <w:r>
        <w:t>P-42 Anti-Abstraction / Anti-Purpose-Laundering</w:t>
      </w:r>
    </w:p>
    <w:p>
      <w:pPr>
        <w:pStyle w:val="ListBullet"/>
      </w:pPr>
      <w:r>
        <w:t>P-45 Necessary Standing Informational Capability</w:t>
      </w:r>
    </w:p>
    <w:p>
      <w:pPr>
        <w:pStyle w:val="ListBullet"/>
      </w:pPr>
      <w:r>
        <w:t>P-46 Structural Least Power</w:t>
      </w:r>
    </w:p>
    <w:p>
      <w:pPr>
        <w:pStyle w:val="ListBullet"/>
      </w:pPr>
      <w:r>
        <w:t>P-47 Unnecessary Standing Capability</w:t>
      </w:r>
    </w:p>
    <w:p>
      <w:pPr>
        <w:pStyle w:val="ListBullet"/>
      </w:pPr>
      <w:r>
        <w:t>P-49 Authority is ceiling, not capability specification</w:t>
      </w:r>
    </w:p>
    <w:p>
      <w:pPr>
        <w:pStyle w:val="ListBullet"/>
      </w:pPr>
      <w:r>
        <w:t>P-51 OIA / FC / FCGIAS hierarchy</w:t>
      </w:r>
    </w:p>
    <w:p>
      <w:pPr>
        <w:pStyle w:val="Heading1"/>
      </w:pPr>
      <w:r>
        <w:t>VI. Publication 2.1 Drift Findings</w:t>
      </w:r>
    </w:p>
    <w:tbl>
      <w:tblPr>
        <w:tblStyle w:val="TableGrid"/>
        <w:tblW w:type="auto" w:w="0"/>
        <w:jc w:val="center"/>
        <w:tblLook w:firstColumn="1" w:firstRow="1" w:lastColumn="0" w:lastRow="0" w:noHBand="0" w:noVBand="1" w:val="04A0"/>
      </w:tblPr>
      <w:tblGrid>
        <w:gridCol w:w="2664"/>
        <w:gridCol w:w="2664"/>
        <w:gridCol w:w="2664"/>
        <w:gridCol w:w="2664"/>
      </w:tblGrid>
      <w:tr>
        <w:trPr>
          <w:tblHeader w:val="true"/>
          <w:cantSplit/>
        </w:trPr>
        <w:tc>
          <w:tcPr>
            <w:tcW w:type="dxa" w:w="2664"/>
          </w:tcPr>
          <w:p>
            <w:pPr>
              <w:spacing w:after="0" w:before="0"/>
            </w:pPr>
            <w:r>
              <w:rPr>
                <w:sz w:val="16"/>
              </w:rPr>
              <w:t>Finding</w:t>
            </w:r>
          </w:p>
        </w:tc>
        <w:tc>
          <w:tcPr>
            <w:tcW w:type="dxa" w:w="2664"/>
          </w:tcPr>
          <w:p>
            <w:pPr>
              <w:spacing w:after="0" w:before="0"/>
            </w:pPr>
            <w:r>
              <w:rPr>
                <w:sz w:val="16"/>
              </w:rPr>
              <w:t>Location / Subject</w:t>
            </w:r>
          </w:p>
        </w:tc>
        <w:tc>
          <w:tcPr>
            <w:tcW w:type="dxa" w:w="2664"/>
          </w:tcPr>
          <w:p>
            <w:pPr>
              <w:spacing w:after="0" w:before="0"/>
            </w:pPr>
            <w:r>
              <w:rPr>
                <w:sz w:val="16"/>
              </w:rPr>
              <w:t>Disposition</w:t>
            </w:r>
          </w:p>
        </w:tc>
        <w:tc>
          <w:tcPr>
            <w:tcW w:type="dxa" w:w="2664"/>
          </w:tcPr>
          <w:p>
            <w:pPr>
              <w:spacing w:after="0" w:before="0"/>
            </w:pPr>
            <w:r>
              <w:rPr>
                <w:sz w:val="16"/>
              </w:rPr>
              <w:t>Control</w:t>
            </w:r>
          </w:p>
        </w:tc>
      </w:tr>
      <w:tr>
        <w:trPr>
          <w:cantSplit/>
        </w:trPr>
        <w:tc>
          <w:tcPr>
            <w:tcW w:type="dxa" w:w="2664"/>
          </w:tcPr>
          <w:p>
            <w:pPr>
              <w:spacing w:after="0" w:before="0"/>
            </w:pPr>
            <w:r>
              <w:rPr>
                <w:sz w:val="16"/>
              </w:rPr>
              <w:t>PAM-DRIFT-01</w:t>
            </w:r>
          </w:p>
        </w:tc>
        <w:tc>
          <w:tcPr>
            <w:tcW w:type="dxa" w:w="2664"/>
          </w:tcPr>
          <w:p>
            <w:pPr>
              <w:spacing w:after="0" w:before="0"/>
            </w:pPr>
            <w:r>
              <w:rPr>
                <w:sz w:val="16"/>
              </w:rPr>
              <w:t>Paragraph 9, capability/authority shorthand</w:t>
            </w:r>
          </w:p>
        </w:tc>
        <w:tc>
          <w:tcPr>
            <w:tcW w:type="dxa" w:w="2664"/>
          </w:tcPr>
          <w:p>
            <w:pPr>
              <w:spacing w:after="0" w:before="0"/>
            </w:pPr>
            <w:r>
              <w:rPr>
                <w:sz w:val="16"/>
              </w:rPr>
              <w:t>MINOR CONTROLLED REFINEMENT</w:t>
            </w:r>
          </w:p>
        </w:tc>
        <w:tc>
          <w:tcPr>
            <w:tcW w:type="dxa" w:w="2664"/>
          </w:tcPr>
          <w:p>
            <w:pPr>
              <w:spacing w:after="0" w:before="0"/>
            </w:pPr>
            <w:r>
              <w:rPr>
                <w:sz w:val="16"/>
              </w:rPr>
              <w:t>The introduction asks whether standing capability 'corresponds to the authority government is entitled to exercise without further authorization.' After IR-01, that shorthand is incomplete because SLIA is only the outer ceiling. Publication-final wording should ask whether the capability remains within LIA and does not materially exceed NSIC.</w:t>
            </w:r>
          </w:p>
        </w:tc>
      </w:tr>
      <w:tr>
        <w:trPr>
          <w:cantSplit/>
        </w:trPr>
        <w:tc>
          <w:tcPr>
            <w:tcW w:type="dxa" w:w="2664"/>
          </w:tcPr>
          <w:p>
            <w:pPr>
              <w:spacing w:after="0" w:before="0"/>
            </w:pPr>
            <w:r>
              <w:rPr>
                <w:sz w:val="16"/>
              </w:rPr>
              <w:t>PAM-DRIFT-02</w:t>
            </w:r>
          </w:p>
        </w:tc>
        <w:tc>
          <w:tcPr>
            <w:tcW w:type="dxa" w:w="2664"/>
          </w:tcPr>
          <w:p>
            <w:pPr>
              <w:spacing w:after="0" w:before="0"/>
            </w:pPr>
            <w:r>
              <w:rPr>
                <w:sz w:val="16"/>
              </w:rPr>
              <w:t>Paragraph 117, structural preference terminology</w:t>
            </w:r>
          </w:p>
        </w:tc>
        <w:tc>
          <w:tcPr>
            <w:tcW w:type="dxa" w:w="2664"/>
          </w:tcPr>
          <w:p>
            <w:pPr>
              <w:spacing w:after="0" w:before="0"/>
            </w:pPr>
            <w:r>
              <w:rPr>
                <w:sz w:val="16"/>
              </w:rPr>
              <w:t>MINOR CONTROLLED REFINEMENT</w:t>
            </w:r>
          </w:p>
        </w:tc>
        <w:tc>
          <w:tcPr>
            <w:tcW w:type="dxa" w:w="2664"/>
          </w:tcPr>
          <w:p>
            <w:pPr>
              <w:spacing w:after="0" w:before="0"/>
            </w:pPr>
            <w:r>
              <w:rPr>
                <w:sz w:val="16"/>
              </w:rPr>
              <w:t>The paragraph is substantively compatible with IR-01 but uses the older 'structural preference' formulation. Publication-final wording should identify Structural Least Power expressly and clarify that compensating controls address unavoidable residual capability rather than cure avoidable excess capability.</w:t>
            </w:r>
          </w:p>
        </w:tc>
      </w:tr>
      <w:tr>
        <w:trPr>
          <w:cantSplit/>
        </w:trPr>
        <w:tc>
          <w:tcPr>
            <w:tcW w:type="dxa" w:w="2664"/>
          </w:tcPr>
          <w:p>
            <w:pPr>
              <w:spacing w:after="0" w:before="0"/>
            </w:pPr>
            <w:r>
              <w:rPr>
                <w:sz w:val="16"/>
              </w:rPr>
              <w:t>PAM-DRIFT-03</w:t>
            </w:r>
          </w:p>
        </w:tc>
        <w:tc>
          <w:tcPr>
            <w:tcW w:type="dxa" w:w="2664"/>
          </w:tcPr>
          <w:p>
            <w:pPr>
              <w:spacing w:after="0" w:before="0"/>
            </w:pPr>
            <w:r>
              <w:rPr>
                <w:sz w:val="16"/>
              </w:rPr>
              <w:t>Current Model Act artifact state</w:t>
            </w:r>
          </w:p>
        </w:tc>
        <w:tc>
          <w:tcPr>
            <w:tcW w:type="dxa" w:w="2664"/>
          </w:tcPr>
          <w:p>
            <w:pPr>
              <w:spacing w:after="0" w:before="0"/>
            </w:pPr>
            <w:r>
              <w:rPr>
                <w:sz w:val="16"/>
              </w:rPr>
              <w:t>REFERENCE UPDATE</w:t>
            </w:r>
          </w:p>
        </w:tc>
        <w:tc>
          <w:tcPr>
            <w:tcW w:type="dxa" w:w="2664"/>
          </w:tcPr>
          <w:p>
            <w:pPr>
              <w:spacing w:after="0" w:before="0"/>
            </w:pPr>
            <w:r>
              <w:rPr>
                <w:sz w:val="16"/>
              </w:rPr>
              <w:t>Publication 2.1 correctly describes the synchronized statutory trilogy in substance but does not identify the now-verified TRI-PATCH-01 Version 2.2 Model Act Freeze Candidate set. Current-artifact citations or reader-package references should be updated at the final citation pass.</w:t>
            </w:r>
          </w:p>
        </w:tc>
      </w:tr>
      <w:tr>
        <w:trPr>
          <w:cantSplit/>
        </w:trPr>
        <w:tc>
          <w:tcPr>
            <w:tcW w:type="dxa" w:w="2664"/>
          </w:tcPr>
          <w:p>
            <w:pPr>
              <w:spacing w:after="0" w:before="0"/>
            </w:pPr>
            <w:r>
              <w:rPr>
                <w:sz w:val="16"/>
              </w:rPr>
              <w:t>PAM-DRIFT-04</w:t>
            </w:r>
          </w:p>
        </w:tc>
        <w:tc>
          <w:tcPr>
            <w:tcW w:type="dxa" w:w="2664"/>
          </w:tcPr>
          <w:p>
            <w:pPr>
              <w:spacing w:after="0" w:before="0"/>
            </w:pPr>
            <w:r>
              <w:rPr>
                <w:sz w:val="16"/>
              </w:rPr>
              <w:t>No material Version 2.2 doctrinal drift otherwise detected</w:t>
            </w:r>
          </w:p>
        </w:tc>
        <w:tc>
          <w:tcPr>
            <w:tcW w:type="dxa" w:w="2664"/>
          </w:tcPr>
          <w:p>
            <w:pPr>
              <w:spacing w:after="0" w:before="0"/>
            </w:pPr>
            <w:r>
              <w:rPr>
                <w:sz w:val="16"/>
              </w:rPr>
              <w:t>PASS</w:t>
            </w:r>
          </w:p>
        </w:tc>
        <w:tc>
          <w:tcPr>
            <w:tcW w:type="dxa" w:w="2664"/>
          </w:tcPr>
          <w:p>
            <w:pPr>
              <w:spacing w:after="0" w:before="0"/>
            </w:pPr>
            <w:r>
              <w:rPr>
                <w:sz w:val="16"/>
              </w:rPr>
              <w:t>PLA/LIA, SLIA, NSIC, Structural Least Power, Purpose Divergence, IJ Levels, Anti-Abstraction, Vendor status, conformance non-usurpation, Express Democratic Departure, No Phone Home, and the OIA/FC/FCGIAS hierarchy are all substantively present in the current Publication 2.1 working master.</w:t>
            </w:r>
          </w:p>
        </w:tc>
      </w:tr>
    </w:tbl>
    <w:p>
      <w:pPr>
        <w:pStyle w:val="Heading1"/>
      </w:pPr>
      <w:r>
        <w:t>VII. Authority Gaps Carried Forward to the Post-2.2 Source Dossier</w:t>
      </w:r>
    </w:p>
    <w:tbl>
      <w:tblPr>
        <w:tblStyle w:val="TableGrid"/>
        <w:tblW w:type="auto" w:w="0"/>
        <w:jc w:val="center"/>
        <w:tblLook w:firstColumn="1" w:firstRow="1" w:lastColumn="0" w:lastRow="0" w:noHBand="0" w:noVBand="1" w:val="04A0"/>
      </w:tblPr>
      <w:tblGrid>
        <w:gridCol w:w="3552"/>
        <w:gridCol w:w="3552"/>
        <w:gridCol w:w="3552"/>
      </w:tblGrid>
      <w:tr>
        <w:trPr>
          <w:tblHeader w:val="true"/>
          <w:cantSplit/>
        </w:trPr>
        <w:tc>
          <w:tcPr>
            <w:tcW w:type="dxa" w:w="3552"/>
          </w:tcPr>
          <w:p>
            <w:pPr>
              <w:spacing w:after="0" w:before="0"/>
            </w:pPr>
            <w:r>
              <w:rPr>
                <w:sz w:val="16"/>
              </w:rPr>
              <w:t>Gap</w:t>
            </w:r>
          </w:p>
        </w:tc>
        <w:tc>
          <w:tcPr>
            <w:tcW w:type="dxa" w:w="3552"/>
          </w:tcPr>
          <w:p>
            <w:pPr>
              <w:spacing w:after="0" w:before="0"/>
            </w:pPr>
            <w:r>
              <w:rPr>
                <w:sz w:val="16"/>
              </w:rPr>
              <w:t>Subject</w:t>
            </w:r>
          </w:p>
        </w:tc>
        <w:tc>
          <w:tcPr>
            <w:tcW w:type="dxa" w:w="3552"/>
          </w:tcPr>
          <w:p>
            <w:pPr>
              <w:spacing w:after="0" w:before="0"/>
            </w:pPr>
            <w:r>
              <w:rPr>
                <w:sz w:val="16"/>
              </w:rPr>
              <w:t>Controlled disposition</w:t>
            </w:r>
          </w:p>
        </w:tc>
      </w:tr>
      <w:tr>
        <w:trPr>
          <w:cantSplit/>
        </w:trPr>
        <w:tc>
          <w:tcPr>
            <w:tcW w:type="dxa" w:w="3552"/>
          </w:tcPr>
          <w:p>
            <w:pPr>
              <w:spacing w:after="0" w:before="0"/>
            </w:pPr>
            <w:r>
              <w:rPr>
                <w:sz w:val="16"/>
              </w:rPr>
              <w:t>G-2.2-01</w:t>
            </w:r>
          </w:p>
        </w:tc>
        <w:tc>
          <w:tcPr>
            <w:tcW w:type="dxa" w:w="3552"/>
          </w:tcPr>
          <w:p>
            <w:pPr>
              <w:spacing w:after="0" w:before="0"/>
            </w:pPr>
            <w:r>
              <w:rPr>
                <w:sz w:val="16"/>
              </w:rPr>
              <w:t>PLA / LIA</w:t>
            </w:r>
          </w:p>
        </w:tc>
        <w:tc>
          <w:tcPr>
            <w:tcW w:type="dxa" w:w="3552"/>
          </w:tcPr>
          <w:p>
            <w:pPr>
              <w:spacing w:after="0" w:before="0"/>
            </w:pPr>
            <w:r>
              <w:rPr>
                <w:sz w:val="16"/>
              </w:rPr>
              <w:t>External authorities support delegated power, purpose limitation, necessity, and non-bootstrap principles, but LIA as an integrated test remains an FC synthesis. The new dossier should preserve that distinction.</w:t>
            </w:r>
          </w:p>
        </w:tc>
      </w:tr>
      <w:tr>
        <w:trPr>
          <w:cantSplit/>
        </w:trPr>
        <w:tc>
          <w:tcPr>
            <w:tcW w:type="dxa" w:w="3552"/>
          </w:tcPr>
          <w:p>
            <w:pPr>
              <w:spacing w:after="0" w:before="0"/>
            </w:pPr>
            <w:r>
              <w:rPr>
                <w:sz w:val="16"/>
              </w:rPr>
              <w:t>G-2.2-02</w:t>
            </w:r>
          </w:p>
        </w:tc>
        <w:tc>
          <w:tcPr>
            <w:tcW w:type="dxa" w:w="3552"/>
          </w:tcPr>
          <w:p>
            <w:pPr>
              <w:spacing w:after="0" w:before="0"/>
            </w:pPr>
            <w:r>
              <w:rPr>
                <w:sz w:val="16"/>
              </w:rPr>
              <w:t>Structural Least Power / NSIC</w:t>
            </w:r>
          </w:p>
        </w:tc>
        <w:tc>
          <w:tcPr>
            <w:tcW w:type="dxa" w:w="3552"/>
          </w:tcPr>
          <w:p>
            <w:pPr>
              <w:spacing w:after="0" w:before="0"/>
            </w:pPr>
            <w:r>
              <w:rPr>
                <w:sz w:val="16"/>
              </w:rPr>
              <w:t>NIST least privilege and Zero Trust are strong analogies, not direct legal authority for the FC governmental-capability rule. The dossier should prevent analogy from becoming silent doctrinal substitution.</w:t>
            </w:r>
          </w:p>
        </w:tc>
      </w:tr>
      <w:tr>
        <w:trPr>
          <w:cantSplit/>
        </w:trPr>
        <w:tc>
          <w:tcPr>
            <w:tcW w:type="dxa" w:w="3552"/>
          </w:tcPr>
          <w:p>
            <w:pPr>
              <w:spacing w:after="0" w:before="0"/>
            </w:pPr>
            <w:r>
              <w:rPr>
                <w:sz w:val="16"/>
              </w:rPr>
              <w:t>G-2.2-03</w:t>
            </w:r>
          </w:p>
        </w:tc>
        <w:tc>
          <w:tcPr>
            <w:tcW w:type="dxa" w:w="3552"/>
          </w:tcPr>
          <w:p>
            <w:pPr>
              <w:spacing w:after="0" w:before="0"/>
            </w:pPr>
            <w:r>
              <w:rPr>
                <w:sz w:val="16"/>
              </w:rPr>
              <w:t>Purpose Divergence / IJ Levels</w:t>
            </w:r>
          </w:p>
        </w:tc>
        <w:tc>
          <w:tcPr>
            <w:tcW w:type="dxa" w:w="3552"/>
          </w:tcPr>
          <w:p>
            <w:pPr>
              <w:spacing w:after="0" w:before="0"/>
            </w:pPr>
            <w:r>
              <w:rPr>
                <w:sz w:val="16"/>
              </w:rPr>
              <w:t>Purpose limitation and compatibility rules are antecedents; the four-level IJ framework is FC's control taxonomy.</w:t>
            </w:r>
          </w:p>
        </w:tc>
      </w:tr>
      <w:tr>
        <w:trPr>
          <w:cantSplit/>
        </w:trPr>
        <w:tc>
          <w:tcPr>
            <w:tcW w:type="dxa" w:w="3552"/>
          </w:tcPr>
          <w:p>
            <w:pPr>
              <w:spacing w:after="0" w:before="0"/>
            </w:pPr>
            <w:r>
              <w:rPr>
                <w:sz w:val="16"/>
              </w:rPr>
              <w:t>G-2.2-04</w:t>
            </w:r>
          </w:p>
        </w:tc>
        <w:tc>
          <w:tcPr>
            <w:tcW w:type="dxa" w:w="3552"/>
          </w:tcPr>
          <w:p>
            <w:pPr>
              <w:spacing w:after="0" w:before="0"/>
            </w:pPr>
            <w:r>
              <w:rPr>
                <w:sz w:val="16"/>
              </w:rPr>
              <w:t>Authority as ceiling</w:t>
            </w:r>
          </w:p>
        </w:tc>
        <w:tc>
          <w:tcPr>
            <w:tcW w:type="dxa" w:w="3552"/>
          </w:tcPr>
          <w:p>
            <w:pPr>
              <w:spacing w:after="0" w:before="0"/>
            </w:pPr>
            <w:r>
              <w:rPr>
                <w:sz w:val="16"/>
              </w:rPr>
              <w:t>The proposition is central to IR-01 and should be supported by least-privilege and limited-government analogies while remaining classified as D3.</w:t>
            </w:r>
          </w:p>
        </w:tc>
      </w:tr>
      <w:tr>
        <w:trPr>
          <w:cantSplit/>
        </w:trPr>
        <w:tc>
          <w:tcPr>
            <w:tcW w:type="dxa" w:w="3552"/>
          </w:tcPr>
          <w:p>
            <w:pPr>
              <w:spacing w:after="0" w:before="0"/>
            </w:pPr>
            <w:r>
              <w:rPr>
                <w:sz w:val="16"/>
              </w:rPr>
              <w:t>G-2.2-05</w:t>
            </w:r>
          </w:p>
        </w:tc>
        <w:tc>
          <w:tcPr>
            <w:tcW w:type="dxa" w:w="3552"/>
          </w:tcPr>
          <w:p>
            <w:pPr>
              <w:spacing w:after="0" w:before="0"/>
            </w:pPr>
            <w:r>
              <w:rPr>
                <w:sz w:val="16"/>
              </w:rPr>
              <w:t>Express Democratic Departure</w:t>
            </w:r>
          </w:p>
        </w:tc>
        <w:tc>
          <w:tcPr>
            <w:tcW w:type="dxa" w:w="3552"/>
          </w:tcPr>
          <w:p>
            <w:pPr>
              <w:spacing w:after="0" w:before="0"/>
            </w:pPr>
            <w:r>
              <w:rPr>
                <w:sz w:val="16"/>
              </w:rPr>
              <w:t>The publication should distinguish valid legislative authorization, FC conformance, political legitimacy, and constitutional review without implying that FCGIAS can override enacted law.</w:t>
            </w:r>
          </w:p>
        </w:tc>
      </w:tr>
      <w:tr>
        <w:trPr>
          <w:cantSplit/>
        </w:trPr>
        <w:tc>
          <w:tcPr>
            <w:tcW w:type="dxa" w:w="3552"/>
          </w:tcPr>
          <w:p>
            <w:pPr>
              <w:spacing w:after="0" w:before="0"/>
            </w:pPr>
            <w:r>
              <w:rPr>
                <w:sz w:val="16"/>
              </w:rPr>
              <w:t>G-2.2-06</w:t>
            </w:r>
          </w:p>
        </w:tc>
        <w:tc>
          <w:tcPr>
            <w:tcW w:type="dxa" w:w="3552"/>
          </w:tcPr>
          <w:p>
            <w:pPr>
              <w:spacing w:after="0" w:before="0"/>
            </w:pPr>
            <w:r>
              <w:rPr>
                <w:sz w:val="16"/>
              </w:rPr>
              <w:t>Current legislative artifacts</w:t>
            </w:r>
          </w:p>
        </w:tc>
        <w:tc>
          <w:tcPr>
            <w:tcW w:type="dxa" w:w="3552"/>
          </w:tcPr>
          <w:p>
            <w:pPr>
              <w:spacing w:after="0" w:before="0"/>
            </w:pPr>
            <w:r>
              <w:rPr>
                <w:sz w:val="16"/>
              </w:rPr>
              <w:t>The post-2.2 dossier and final manuscript references should point to the TRI-PATCH-01 Freeze Candidate Acts rather than earlier synchronized candidates or first clean restatements.</w:t>
            </w:r>
          </w:p>
        </w:tc>
      </w:tr>
    </w:tbl>
    <w:p>
      <w:pPr>
        <w:pStyle w:val="Heading1"/>
      </w:pPr>
      <w:r>
        <w:t>VIII. Controlling Drafting Rules</w:t>
      </w:r>
    </w:p>
    <w:p>
      <w:pPr>
        <w:pStyle w:val="ListBullet"/>
      </w:pPr>
      <w:r>
        <w:t>State the FC proposition first; then state supporting authority, counterauthority, and classification.</w:t>
      </w:r>
    </w:p>
    <w:p>
      <w:pPr>
        <w:pStyle w:val="ListBullet"/>
      </w:pPr>
      <w:r>
        <w:t>Do not convert D1 or D2 antecedents into claims that existing law already adopts a D3 FC synthesis.</w:t>
      </w:r>
    </w:p>
    <w:p>
      <w:pPr>
        <w:pStyle w:val="ListBullet"/>
      </w:pPr>
      <w:r>
        <w:t>Do not weaken a D3 or D4 FC proposition merely because positive law is narrower.</w:t>
      </w:r>
    </w:p>
    <w:p>
      <w:pPr>
        <w:pStyle w:val="ListBullet"/>
      </w:pPr>
      <w:r>
        <w:t>Separate Positive Legal Authority from Legitimate Informational Authority.</w:t>
      </w:r>
    </w:p>
    <w:p>
      <w:pPr>
        <w:pStyle w:val="ListBullet"/>
      </w:pPr>
      <w:r>
        <w:t>Treat SLIA as an outer ceiling and determine NSIC before evaluating STIC conformance.</w:t>
      </w:r>
    </w:p>
    <w:p>
      <w:pPr>
        <w:pStyle w:val="ListBullet"/>
      </w:pPr>
      <w:r>
        <w:t>Apply Structural Least Power before graduated Informational Justification.</w:t>
      </w:r>
    </w:p>
    <w:p>
      <w:pPr>
        <w:pStyle w:val="ListBullet"/>
      </w:pPr>
      <w:r>
        <w:t>Treat No Phone Home as an architectural capability-preclusion rule, not merely a privacy preference.</w:t>
      </w:r>
    </w:p>
    <w:p>
      <w:pPr>
        <w:pStyle w:val="ListBullet"/>
      </w:pPr>
      <w:r>
        <w:t>Keep Vendor fiduciary status, direct statutory or contractual duties, agency, state action, and conformance attribution distinct.</w:t>
      </w:r>
    </w:p>
    <w:p>
      <w:pPr>
        <w:pStyle w:val="ListBullet"/>
      </w:pPr>
      <w:r>
        <w:t>Where Chatrie is used, separate the Court's holding from FC's structural extension.</w:t>
      </w:r>
    </w:p>
    <w:p>
      <w:pPr>
        <w:pStyle w:val="ListBullet"/>
      </w:pPr>
      <w:r>
        <w:t>Current normative legislative references should use the TRI-PATCH-01 Version 2.2 Model Act Freeze Candidate set; earlier RC4.1, first clean restatements, and synchronization instruments are provenance or control records.</w:t>
      </w:r>
    </w:p>
    <w:p>
      <w:pPr>
        <w:pStyle w:val="Heading1"/>
      </w:pPr>
      <w:r>
        <w:t>IX. Control Determination</w:t>
      </w:r>
    </w:p>
    <w:p>
      <w:r>
        <w:t>WP-PAM 0.3 is suitable as the controlling proposition-and-authority matrix for the Publication 2.1 finalization stage. It identifies no material contradiction between the current Publication 2.1 working master and FC-TL 2.2. It identifies three controlled publication-final refinements and six source-dossier updates. The next dependent control task is Source and Footnote Dossier post-2.2 revision, followed by a targeted Publication 2.1 substantive-fidelity and citation pass.</w:t>
      </w:r>
    </w:p>
    <w:sectPr w:rsidR="00FC693F" w:rsidRPr="0006063C" w:rsidSect="00034616">
      <w:pgSz w:w="15840" w:h="12240" w:orient="landscape"/>
      <w:pgMar w:top="648" w:right="504" w:bottom="648"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