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FC SOURCE AND FOOTNOTE DOSSIER 0.3</w:t>
      </w:r>
    </w:p>
    <w:p>
      <w:pPr>
        <w:jc w:val="center"/>
      </w:pPr>
      <w:r>
        <w:rPr>
          <w:b/>
        </w:rPr>
        <w:t>Post-Version-2.2 Controlled Edition</w:t>
      </w:r>
    </w:p>
    <w:p>
      <w:pPr>
        <w:jc w:val="center"/>
      </w:pPr>
      <w:r>
        <w:t>The Government's Power to Know | 13 September 2026</w:t>
      </w:r>
    </w:p>
    <w:p>
      <w:r>
        <w:t>Status. This document succeeds Source and Footnote Dossier 0.2 without rewriting it. Dossier 0.2 remains the frozen citation architecture for the Version 2.1 drafting stage. Dossier 0.3 is the controlling post-Version-2.2 research and footnote architecture for Publication 2.1 finalization. It incorporates WP-PAM 0.3, FC-TL 2.2, FCGIAS Version 2.2, IR-01, current NIST digital-identity guidance, and the verified Version 2.2 Model Act Freeze Candidate trilogy. The main white paper remains subject to a hard 25,000-word maximum.</w:t>
      </w:r>
    </w:p>
    <w:p>
      <w:pPr>
        <w:pStyle w:val="Heading1"/>
      </w:pPr>
      <w:r>
        <w:t>I. Control Rules</w:t>
      </w:r>
    </w:p>
    <w:p>
      <w:pPr>
        <w:pStyle w:val="ListBullet"/>
      </w:pPr>
      <w:r>
        <w:t>FC-TL 2.2 controls the statement of what Fiduciary Commons claims. WP-PAM 0.3 controls proposition-to-authority mapping and doctrinal classification.</w:t>
      </w:r>
    </w:p>
    <w:p>
      <w:pPr>
        <w:pStyle w:val="ListBullet"/>
      </w:pPr>
      <w:r>
        <w:t>Primary law and founding-era materials carry legal and historical propositions wherever available.</w:t>
      </w:r>
    </w:p>
    <w:p>
      <w:pPr>
        <w:pStyle w:val="ListBullet"/>
      </w:pPr>
      <w:r>
        <w:t>FC primary materials carry claims about the content, provenance, development, architecture, and implementation of Fiduciary Commons.</w:t>
      </w:r>
    </w:p>
    <w:p>
      <w:pPr>
        <w:pStyle w:val="ListBullet"/>
      </w:pPr>
      <w:r>
        <w:t>Secondary scholarship and technical standards are support, comparison, counterauthority, or prior art. They may not silently redefine or narrow an FC proposition.</w:t>
      </w:r>
    </w:p>
    <w:p>
      <w:pPr>
        <w:pStyle w:val="ListBullet"/>
      </w:pPr>
      <w:r>
        <w:t>Every transition from a holding, statute, historical source, technical standard, or scholarly antecedent to an FC inference must be visible in the prose or footnote.</w:t>
      </w:r>
    </w:p>
    <w:p>
      <w:pPr>
        <w:pStyle w:val="ListBullet"/>
      </w:pPr>
      <w:r>
        <w:t>The Supreme Court's June 29, 2026 decision in Chatrie is controlling for the propositions actually decided. Fourth Circuit Chatrie opinions are historical or comparative authorities only.</w:t>
      </w:r>
    </w:p>
    <w:p>
      <w:pPr>
        <w:pStyle w:val="ListBullet"/>
      </w:pPr>
      <w:r>
        <w:t>Chatrie does not hold that the mere existence of surveillance architecture is itself a completed Fourth Amendment search. That remains an FC structural extension or D4 proposition when constitutionalized.</w:t>
      </w:r>
    </w:p>
    <w:p>
      <w:pPr>
        <w:pStyle w:val="ListBullet"/>
      </w:pPr>
      <w:r>
        <w:t>Positive Legal Authority and Legitimate Informational Authority must be analyzed separately. A valid source of legal authorization is not, by itself, proof of FC informational legitimacy or conformance.</w:t>
      </w:r>
    </w:p>
    <w:p>
      <w:pPr>
        <w:pStyle w:val="ListBullet"/>
      </w:pPr>
      <w:r>
        <w:t>Standing Legitimate Informational Authority is an outer ceiling, not a specification for maximum standing capability. Necessary Standing Informational Capability must be determined before Standing Technical Informational Capability is treated as conforming.</w:t>
      </w:r>
    </w:p>
    <w:p>
      <w:pPr>
        <w:pStyle w:val="ListBullet"/>
      </w:pPr>
      <w:r>
        <w:t>NIST least privilege and Zero Trust are strong technical antecedents to Structural Least Power and ACCP, not direct legal authority for the FC governmental-capability rule.</w:t>
      </w:r>
    </w:p>
    <w:p>
      <w:pPr>
        <w:pStyle w:val="ListBullet"/>
      </w:pPr>
      <w:r>
        <w:t>Purpose-limitation and compatibility authorities are antecedents to Purpose Divergence. IJ-1 through IJ-4 are an FC control taxonomy, not an existing statutory or constitutional classification.</w:t>
      </w:r>
    </w:p>
    <w:p>
      <w:pPr>
        <w:pStyle w:val="ListBullet"/>
      </w:pPr>
      <w:r>
        <w:t>Vendor conformance attribution is distinct from Vendor fiduciary status, direct statutory or contractual duty, agency, and constitutional state action.</w:t>
      </w:r>
    </w:p>
    <w:p>
      <w:pPr>
        <w:pStyle w:val="ListBullet"/>
      </w:pPr>
      <w:r>
        <w:t>FCGIAS, conformance tests, audits, and procurement specifications do not independently create governmental informational authority.</w:t>
      </w:r>
    </w:p>
    <w:p>
      <w:pPr>
        <w:pStyle w:val="ListBullet"/>
      </w:pPr>
      <w:r>
        <w:t>Date-of-Copy versus Date-of-Origin rule PR-01 governs all FC provenance claims.</w:t>
      </w:r>
    </w:p>
    <w:p>
      <w:pPr>
        <w:pStyle w:val="ListBullet"/>
      </w:pPr>
      <w:r>
        <w:t>No citation in this dossier authorizes a claim broader than the proposition described in its Use / limitation field.</w:t>
      </w:r>
    </w:p>
    <w:p>
      <w:pPr>
        <w:pStyle w:val="ListBullet"/>
      </w:pPr>
      <w:r>
        <w:t>Current normative legislative references use the TRI-PATCH-01 Version 2.2 Model Act Freeze Candidate set. RC4.1 texts, first clean 2.2 restatements, earlier synchronization instruments, audits, and reconciliation records are historical or control-support artifacts.</w:t>
      </w:r>
    </w:p>
    <w:p>
      <w:pPr>
        <w:pStyle w:val="ListBullet"/>
      </w:pPr>
      <w:r>
        <w:t>No em dash characters are used in controlled FC project text.</w:t>
      </w:r>
    </w:p>
    <w:p>
      <w:pPr>
        <w:pStyle w:val="Heading1"/>
      </w:pPr>
      <w:r>
        <w:t>II. WP-PAM 0.3 Research-Gap Closure</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cantSplit/>
        </w:trPr>
        <w:tc>
          <w:tcPr>
            <w:tcW w:type="dxa" w:w="2556"/>
          </w:tcPr>
          <w:p>
            <w:r>
              <w:t>Gap</w:t>
            </w:r>
          </w:p>
        </w:tc>
        <w:tc>
          <w:tcPr>
            <w:tcW w:type="dxa" w:w="2556"/>
          </w:tcPr>
          <w:p>
            <w:r>
              <w:t>Subject</w:t>
            </w:r>
          </w:p>
        </w:tc>
        <w:tc>
          <w:tcPr>
            <w:tcW w:type="dxa" w:w="2556"/>
          </w:tcPr>
          <w:p>
            <w:r>
              <w:t>Disposition</w:t>
            </w:r>
          </w:p>
        </w:tc>
        <w:tc>
          <w:tcPr>
            <w:tcW w:type="dxa" w:w="2556"/>
          </w:tcPr>
          <w:p>
            <w:r>
              <w:t>Controlled result</w:t>
            </w:r>
          </w:p>
        </w:tc>
      </w:tr>
      <w:tr>
        <w:trPr>
          <w:cantSplit/>
        </w:trPr>
        <w:tc>
          <w:tcPr>
            <w:tcW w:type="dxa" w:w="2556"/>
          </w:tcPr>
          <w:p>
            <w:r>
              <w:t>G-2.2-01</w:t>
            </w:r>
          </w:p>
        </w:tc>
        <w:tc>
          <w:tcPr>
            <w:tcW w:type="dxa" w:w="2556"/>
          </w:tcPr>
          <w:p>
            <w:r>
              <w:t>PLA / LIA</w:t>
            </w:r>
          </w:p>
        </w:tc>
        <w:tc>
          <w:tcPr>
            <w:tcW w:type="dxa" w:w="2556"/>
          </w:tcPr>
          <w:p>
            <w:r>
              <w:t>CLOSED FOR PUBLICATION DRAFTING</w:t>
            </w:r>
          </w:p>
        </w:tc>
        <w:tc>
          <w:tcPr>
            <w:tcW w:type="dxa" w:w="2556"/>
          </w:tcPr>
          <w:p>
            <w:r>
              <w:t>Use delegated-authority and non-bootstrap law for Positive Legal Authority; use purpose, necessity, fiduciary, proportionality, and contextual authorities as antecedents to LIA. Preserve LIA as an FC synthesis rather than attributing the integrated test to existing law.</w:t>
            </w:r>
          </w:p>
        </w:tc>
      </w:tr>
      <w:tr>
        <w:trPr>
          <w:cantSplit/>
        </w:trPr>
        <w:tc>
          <w:tcPr>
            <w:tcW w:type="dxa" w:w="2556"/>
          </w:tcPr>
          <w:p>
            <w:r>
              <w:t>G-2.2-02</w:t>
            </w:r>
          </w:p>
        </w:tc>
        <w:tc>
          <w:tcPr>
            <w:tcW w:type="dxa" w:w="2556"/>
          </w:tcPr>
          <w:p>
            <w:r>
              <w:t>Structural Least Power / NSIC</w:t>
            </w:r>
          </w:p>
        </w:tc>
        <w:tc>
          <w:tcPr>
            <w:tcW w:type="dxa" w:w="2556"/>
          </w:tcPr>
          <w:p>
            <w:r>
              <w:t>CLOSED FOR PUBLICATION DRAFTING</w:t>
            </w:r>
          </w:p>
        </w:tc>
        <w:tc>
          <w:tcPr>
            <w:tcW w:type="dxa" w:w="2556"/>
          </w:tcPr>
          <w:p>
            <w:r>
              <w:t>Use NIST SP 800-53 Rev. 5 AC-6 and NIST SP 800-207 as technical antecedents. They support minimum-necessary privilege and per-resource authorization, but do not establish the FC rule that government should not retain unnecessary standing informational capability.</w:t>
            </w:r>
          </w:p>
        </w:tc>
      </w:tr>
      <w:tr>
        <w:trPr>
          <w:cantSplit/>
        </w:trPr>
        <w:tc>
          <w:tcPr>
            <w:tcW w:type="dxa" w:w="2556"/>
          </w:tcPr>
          <w:p>
            <w:r>
              <w:t>G-2.2-03</w:t>
            </w:r>
          </w:p>
        </w:tc>
        <w:tc>
          <w:tcPr>
            <w:tcW w:type="dxa" w:w="2556"/>
          </w:tcPr>
          <w:p>
            <w:r>
              <w:t>Purpose Divergence / IJ Levels</w:t>
            </w:r>
          </w:p>
        </w:tc>
        <w:tc>
          <w:tcPr>
            <w:tcW w:type="dxa" w:w="2556"/>
          </w:tcPr>
          <w:p>
            <w:r>
              <w:t>CLOSED FOR PUBLICATION DRAFTING</w:t>
            </w:r>
          </w:p>
        </w:tc>
        <w:tc>
          <w:tcPr>
            <w:tcW w:type="dxa" w:w="2556"/>
          </w:tcPr>
          <w:p>
            <w:r>
              <w:t>Use Privacy Act relevance/necessity, notice, compatible-use, and matching provisions plus OECD purpose principles and Contextual Integrity as antecedents. Identify IJ-1 through IJ-4 as the FC taxonomy.</w:t>
            </w:r>
          </w:p>
        </w:tc>
      </w:tr>
      <w:tr>
        <w:trPr>
          <w:cantSplit/>
        </w:trPr>
        <w:tc>
          <w:tcPr>
            <w:tcW w:type="dxa" w:w="2556"/>
          </w:tcPr>
          <w:p>
            <w:r>
              <w:t>G-2.2-04</w:t>
            </w:r>
          </w:p>
        </w:tc>
        <w:tc>
          <w:tcPr>
            <w:tcW w:type="dxa" w:w="2556"/>
          </w:tcPr>
          <w:p>
            <w:r>
              <w:t>Authority as ceiling</w:t>
            </w:r>
          </w:p>
        </w:tc>
        <w:tc>
          <w:tcPr>
            <w:tcW w:type="dxa" w:w="2556"/>
          </w:tcPr>
          <w:p>
            <w:r>
              <w:t>CLOSED FOR PUBLICATION DRAFTING</w:t>
            </w:r>
          </w:p>
        </w:tc>
        <w:tc>
          <w:tcPr>
            <w:tcW w:type="dxa" w:w="2556"/>
          </w:tcPr>
          <w:p>
            <w:r>
              <w:t>Support by limited/delegated public-authority doctrine and least-privilege analogy. Classify the distinction between outer legitimate authority and necessary standing capability as D3.</w:t>
            </w:r>
          </w:p>
        </w:tc>
      </w:tr>
      <w:tr>
        <w:trPr>
          <w:cantSplit/>
        </w:trPr>
        <w:tc>
          <w:tcPr>
            <w:tcW w:type="dxa" w:w="2556"/>
          </w:tcPr>
          <w:p>
            <w:r>
              <w:t>G-2.2-05</w:t>
            </w:r>
          </w:p>
        </w:tc>
        <w:tc>
          <w:tcPr>
            <w:tcW w:type="dxa" w:w="2556"/>
          </w:tcPr>
          <w:p>
            <w:r>
              <w:t>Express Democratic Departure</w:t>
            </w:r>
          </w:p>
        </w:tc>
        <w:tc>
          <w:tcPr>
            <w:tcW w:type="dxa" w:w="2556"/>
          </w:tcPr>
          <w:p>
            <w:r>
              <w:t>CLOSED FOR PUBLICATION DRAFTING</w:t>
            </w:r>
          </w:p>
        </w:tc>
        <w:tc>
          <w:tcPr>
            <w:tcW w:type="dxa" w:w="2556"/>
          </w:tcPr>
          <w:p>
            <w:r>
              <w:t>Use ordinary legislative supremacy within constitutional bounds and delegated-authority principles. State that FCGIAS cannot override enacted law; an express legislative departure is recorded as a conformance departure and remains subject to superior law.</w:t>
            </w:r>
          </w:p>
        </w:tc>
      </w:tr>
      <w:tr>
        <w:trPr>
          <w:cantSplit/>
        </w:trPr>
        <w:tc>
          <w:tcPr>
            <w:tcW w:type="dxa" w:w="2556"/>
          </w:tcPr>
          <w:p>
            <w:r>
              <w:t>G-2.2-06</w:t>
            </w:r>
          </w:p>
        </w:tc>
        <w:tc>
          <w:tcPr>
            <w:tcW w:type="dxa" w:w="2556"/>
          </w:tcPr>
          <w:p>
            <w:r>
              <w:t>Current legislative artifacts</w:t>
            </w:r>
          </w:p>
        </w:tc>
        <w:tc>
          <w:tcPr>
            <w:tcW w:type="dxa" w:w="2556"/>
          </w:tcPr>
          <w:p>
            <w:r>
              <w:t>CLOSED</w:t>
            </w:r>
          </w:p>
        </w:tc>
        <w:tc>
          <w:tcPr>
            <w:tcW w:type="dxa" w:w="2556"/>
          </w:tcPr>
          <w:p>
            <w:r>
              <w:t>Use the PDTA, VIDA, and GAAFA Version 2.2 TRI-PATCH-01 Freeze Candidates as current reader-facing Model Acts. Preserve RC4.1 and earlier 2.2 states only for provenance and control history.</w:t>
            </w:r>
          </w:p>
        </w:tc>
      </w:tr>
      <w:tr>
        <w:trPr>
          <w:cantSplit/>
        </w:trPr>
        <w:tc>
          <w:tcPr>
            <w:tcW w:type="dxa" w:w="2556"/>
          </w:tcPr>
          <w:p>
            <w:r>
              <w:t>G-2.2-07</w:t>
            </w:r>
          </w:p>
        </w:tc>
        <w:tc>
          <w:tcPr>
            <w:tcW w:type="dxa" w:w="2556"/>
          </w:tcPr>
          <w:p>
            <w:r>
              <w:t>Current digital-identity technical authority</w:t>
            </w:r>
          </w:p>
        </w:tc>
        <w:tc>
          <w:tcPr>
            <w:tcW w:type="dxa" w:w="2556"/>
          </w:tcPr>
          <w:p>
            <w:r>
              <w:t>CLOSED</w:t>
            </w:r>
          </w:p>
        </w:tc>
        <w:tc>
          <w:tcPr>
            <w:tcW w:type="dxa" w:w="2556"/>
          </w:tcPr>
          <w:p>
            <w:r>
              <w:t>NIST SP 800-63 Revision 4 became final in 2025 and superseded Revision 3. Use SP 800-63C-4 for current derived-attribute and federation-privacy propositions. Older SP 800-63-3 materials remain historical where they establish chronology.</w:t>
            </w:r>
          </w:p>
        </w:tc>
      </w:tr>
    </w:tbl>
    <w:p>
      <w:pPr>
        <w:pStyle w:val="Heading1"/>
      </w:pPr>
      <w:r>
        <w:t>III. Controlling External Authority Modules</w:t>
      </w:r>
    </w:p>
    <w:p>
      <w:pPr>
        <w:pStyle w:val="Heading2"/>
      </w:pPr>
      <w:r>
        <w:t>A. Fourth Amendment, General Warrants, and Informational Capability</w:t>
      </w:r>
    </w:p>
    <w:p>
      <w:r>
        <w:t>A-01  Digital information can differ qualitatively and quantitatively from physical records. Riley v. California, 573 U.S. 373, 393–97, 403 (2014).</w:t>
      </w:r>
    </w:p>
    <w:p>
      <w:r>
        <w:t>Use / limitation: D1. Use for digital comprehensiveness, not architecture-as-search.</w:t>
      </w:r>
    </w:p>
    <w:p>
      <w:r>
        <w:t>A-02  Longitudinal digital location records can provide a comprehensive chronicle of movements. Carpenter v. United States, 585 U.S. 296, 309–13, 320 (2018).</w:t>
      </w:r>
    </w:p>
    <w:p>
      <w:r>
        <w:t>Use / limitation: D1. Carpenter is foundational but Chatrie goes further on limited-duration Location History.</w:t>
      </w:r>
    </w:p>
    <w:p>
      <w:r>
        <w:t>A-03  Police conduct a Fourth Amendment search when they obtain Google Location History, even for a limited period and from a third-party technology company. Chatrie v. United States, No. 25-112, slip op. at 10–29 (U.S. June 29, 2026).</w:t>
      </w:r>
    </w:p>
    <w:p>
      <w:r>
        <w:t>Use / limitation: D1. Use slip opinion until official pagination.</w:t>
      </w:r>
    </w:p>
    <w:p>
      <w:r>
        <w:t>A-04  Chatrie evaluates the privacy invasion by reference to the surveillance tool's capacity to expose movements, and rejects the argument that the invasion becomes slight merely because officials later select a short interval. Id. at 21.</w:t>
      </w:r>
    </w:p>
    <w:p>
      <w:r>
        <w:t>Use / limitation: D1 reasoning. Supports FC capability bridge, but does not hold standing architecture independently unconstitutional.</w:t>
      </w:r>
    </w:p>
    <w:p>
      <w:r>
        <w:t>A-05  Chatrie leaves probable cause and particularity at each stage for remand. Id. at 29–32.</w:t>
      </w:r>
    </w:p>
    <w:p>
      <w:r>
        <w:t>Use / limitation: D1. Mandatory doctrinal-candor limitation.</w:t>
      </w:r>
    </w:p>
    <w:p>
      <w:r>
        <w:t>A-06  Justice Jackson would require renewed judicial justification for materially broader later-stage access and criticizes the warrant's later stages as a roving commission. Id. at 1–4 (Jackson, J., concurring).</w:t>
      </w:r>
    </w:p>
    <w:p>
      <w:r>
        <w:t>Use / limitation: Persuasive concurrence. Strong bridge to Progressive Particularization and Materially Renewed Authorization.</w:t>
      </w:r>
    </w:p>
    <w:p>
      <w:r>
        <w:t>A-07  The Fourth Amendment's particularity requirement exists to prevent general searches and wide-ranging exploratory searches untethered from probable cause. Maryland v. Garrison, 480 U.S. 79, 84 (1987).</w:t>
      </w:r>
    </w:p>
    <w:p>
      <w:r>
        <w:t>Use / limitation: D1.</w:t>
      </w:r>
    </w:p>
    <w:p>
      <w:r>
        <w:t>A-08  A warrant of the kind the Fourth Amendment forbids is a general warrant, and particularity prevents officers from choosing what to seize under broad authorization. Stanford v. Texas, 379 U.S. 476, 481–86 (1965); Marron v. United States, 275 U.S. 192, 196 (1927).</w:t>
      </w:r>
    </w:p>
    <w:p>
      <w:r>
        <w:t>Use / limitation: D1.</w:t>
      </w:r>
    </w:p>
    <w:p>
      <w:r>
        <w:t>A-09  Electronic surveillance can reproduce general-search dangers where authorization is broad, prolonged, and insufficiently particular. Berger v. New York, 388 U.S. 41, 54–60 (1967).</w:t>
      </w:r>
    </w:p>
    <w:p>
      <w:r>
        <w:t>Use / limitation: D1. Particularly useful historical bridge from general warrants to surveillance technology.</w:t>
      </w:r>
    </w:p>
    <w:p>
      <w:r>
        <w:t>A-10  Authority directed at one person or object does not automatically create derivative authority to invade a third party's protected interest; independent particularized authority can be required. Steagald v. United States, 451 U.S. 204, 212–22 (1981).</w:t>
      </w:r>
    </w:p>
    <w:p>
      <w:r>
        <w:t>Use / limitation: D1. Strong analogue for non-inheritance of informational authority.</w:t>
      </w:r>
    </w:p>
    <w:p>
      <w:r>
        <w:t>A-11  Probable cause must be particularized with respect to the person searched. Ybarra v. Illinois, 444 U.S. 85, 91 (1979).</w:t>
      </w:r>
    </w:p>
    <w:p>
      <w:r>
        <w:t>Use / limitation: D1. Use for person-specific particularity, not as a universal data-architecture rule.</w:t>
      </w:r>
    </w:p>
    <w:p>
      <w:r>
        <w:t>A-12  Standing distributed surveillance capability has independently been proposed as a Fourth Amendment object in contemporary scholarship. D.E. Wright, Fusion Architecture: Standing Governmental Capability and the Fourth Amendment: A Constitutional Framework for Distributed Domestic Surveillance (SSRN 2026).</w:t>
      </w:r>
    </w:p>
    <w:p>
      <w:r>
        <w:t>Use / limitation: Competing contemporary theory. Mandatory originality qualification.</w:t>
      </w:r>
    </w:p>
    <w:p>
      <w:pPr>
        <w:pStyle w:val="Heading2"/>
      </w:pPr>
      <w:r>
        <w:t>B. Delegated, Fiduciary, and Divided Public Authority</w:t>
      </w:r>
    </w:p>
    <w:p>
      <w:r>
        <w:t>B-01  Maryland constitutional tradition states that government originates from the people and is instituted solely for the good of the whole. Md. Const. Decl. of Rts. art. 1; Md. Declaration of Rights art. 1 (1776).</w:t>
      </w:r>
    </w:p>
    <w:p>
      <w:r>
        <w:t>Use / limitation: D1 historical/current state constitutional evidence.</w:t>
      </w:r>
    </w:p>
    <w:p>
      <w:r>
        <w:t>B-02  Maryland expressly describes legislative and executive officers as trustees of the public. Md. Const. Decl. of Rts. art. 6; Md. Declaration of Rights art. 4 (1776).</w:t>
      </w:r>
    </w:p>
    <w:p>
      <w:r>
        <w:t>Use / limitation: D1. Strong public-trust vocabulary; do not import all private trust rules.</w:t>
      </w:r>
    </w:p>
    <w:p>
      <w:r>
        <w:t>B-03  Iredell described constitutional powers as grants by the people to representatives for particular purposes and used a great-power-of-attorney analogy. 2 Jonathan Elliot, The Debates in the Several State Conventions on the Adoption of the Federal Constitution 149 (2d ed. 1836) (James Iredell, N.C. Ratifying Convention, July 28, 1788).</w:t>
      </w:r>
    </w:p>
    <w:p>
      <w:r>
        <w:t>Use / limitation: D1 historical evidence / D2 fiduciary interpretation. Final edition check at publication.</w:t>
      </w:r>
    </w:p>
    <w:p>
      <w:r>
        <w:t>B-04  The Federalist repeatedly uses public-trust concepts for constitutional office. The Federalist No. 57 (James Madison); The Federalist No. 65 (Alexander Hamilton).</w:t>
      </w:r>
    </w:p>
    <w:p>
      <w:r>
        <w:t>Use / limitation: D1 historical evidence.</w:t>
      </w:r>
    </w:p>
    <w:p>
      <w:r>
        <w:t>B-05  Madison linked the possibility of betrayal of public trust to division of entrusted power among different bodies capable of checking one another. James Madison, Notes of Debates, June 26, 1787, in The Papers of James Madison (Founders Online).</w:t>
      </w:r>
    </w:p>
    <w:p>
      <w:r>
        <w:t>Use / limitation: D1 history. FC's informational-decentralization consequence is D3.</w:t>
      </w:r>
    </w:p>
    <w:p>
      <w:r>
        <w:t>B-06  An agency cannot enlarge its own jurisdiction simply because broader action would advance federal policy. Louisiana Pub. Serv. Comm'n v. FCC, 476 U.S. 355, 374–75 (1986).</w:t>
      </w:r>
    </w:p>
    <w:p>
      <w:r>
        <w:t>Use / limitation: D1. Supports capability-does-not-create-authority by analogy.</w:t>
      </w:r>
    </w:p>
    <w:p>
      <w:r>
        <w:t>B-07  The Constitution's structure preserves dual sovereignty and rejects federal commandeering of state executive power. Printz v. United States, 521 U.S. 898, 918–25, 935 (1997).</w:t>
      </w:r>
    </w:p>
    <w:p>
      <w:r>
        <w:t>Use / limitation: D1 federalism. Does not itself prohibit intergovernmental information sharing.</w:t>
      </w:r>
    </w:p>
    <w:p>
      <w:r>
        <w:t>B-08  Federalism protects individual liberty through diffusion of sovereign power and by denying any one government complete jurisdiction over all concerns of public life. Bond v. United States, 564 U.S. 211, 221–23 (2011).</w:t>
      </w:r>
    </w:p>
    <w:p>
      <w:r>
        <w:t>Use / limitation: D1. Supports divided-authority rationale.</w:t>
      </w:r>
    </w:p>
    <w:p>
      <w:r>
        <w:t>B-09  Public-fiduciary scholarship provides a serious originalist and structural account of delegated public authority. Robert G. Natelson, The Constitution and the Public Trust, 52 Buff. L. Rev. 1077 (2004); Gary Lawson &amp; Guy I. Seidman, By Any Other Name: Rational Basis Inquiry and the Federal Government's Fiduciary Duty of Care, 69 Fla. L. Rev. 1385 (2017).</w:t>
      </w:r>
    </w:p>
    <w:p>
      <w:r>
        <w:t>Use / limitation: D2/D3 scholarship, not settled cause-of-action doctrine.</w:t>
      </w:r>
    </w:p>
    <w:p>
      <w:r>
        <w:t>B-10  Fiduciary constitutionalism faces substantial historical, functional, and private-law-fit critiques. Samuel L. Bray &amp; Paul B. Miller, Against Fiduciary Constitutionalism, 106 Va. L. Rev. 1479 (2020); Ethan J. Leib &amp; Stephen R. Galoob, Fiduciary Political Theory: A Critique, 125 Yale L.J. 1820 (2016); Richard Primus, The Elephant Problem, 17 Geo. J.L. &amp; Pub. Pol'y 373 (2019); John Mikhail, Is the Constitution a Power of Attorney or a Corporate Charter?, 17 Geo. J.L. &amp; Pub. Pol'y 407 (2019).</w:t>
      </w:r>
    </w:p>
    <w:p>
      <w:r>
        <w:t>Use / limitation: Counterauthority. Address in Part I rather than footnote exile.</w:t>
      </w:r>
    </w:p>
    <w:p>
      <w:pPr>
        <w:pStyle w:val="Heading2"/>
      </w:pPr>
      <w:r>
        <w:t>C. Privacy, FIPPs, Purpose Limitation, and the Governance Gap</w:t>
      </w:r>
    </w:p>
    <w:p>
      <w:r>
        <w:t>C-01  The Privacy Act requires federal agencies to maintain only information relevant and necessary to accomplish an agency purpose required by statute or executive order. 5 U.S.C. § 552a(e)(1).</w:t>
      </w:r>
    </w:p>
    <w:p>
      <w:r>
        <w:t>Use / limitation: D1 federal statutory antecedent.</w:t>
      </w:r>
    </w:p>
    <w:p>
      <w:r>
        <w:t>C-02  The Privacy Act requires notice of authority, principal purposes, routine uses, and consequences of non-disclosure when agencies solicit information. 5 U.S.C. § 552a(e)(3).</w:t>
      </w:r>
    </w:p>
    <w:p>
      <w:r>
        <w:t>Use / limitation: D1.</w:t>
      </w:r>
    </w:p>
    <w:p>
      <w:r>
        <w:t>C-03  A Privacy Act routine use must be compatible with the purpose for which the record was collected. 5 U.S.C. § 552a(a)(7), (b)(3).</w:t>
      </w:r>
    </w:p>
    <w:p>
      <w:r>
        <w:t>Use / limitation: D1. Strong purpose-limitation antecedent, subject to statutory exceptions and doctrine.</w:t>
      </w:r>
    </w:p>
    <w:p>
      <w:r>
        <w:t>C-04  Federal computer matching is expressly regulated through matching agreements that identify purpose, legal authority, records, and data elements. 5 U.S.C. § 552a(o).</w:t>
      </w:r>
    </w:p>
    <w:p>
      <w:r>
        <w:t>Use / limitation: D1. Important positive-law example of bounded cross-system correlation.</w:t>
      </w:r>
    </w:p>
    <w:p>
      <w:r>
        <w:t>C-05  Congress enacted the Privacy Act in response to the magnified privacy risks of computerized government information systems. Privacy Act of 1974, Pub. L. No. 93-579, § 2, 88 Stat. 1896, 1896 (1974), codified as amended at 5 U.S.C. § 552a note.</w:t>
      </w:r>
    </w:p>
    <w:p>
      <w:r>
        <w:t>Use / limitation: D1 legislative finding.</w:t>
      </w:r>
    </w:p>
    <w:p>
      <w:r>
        <w:t>C-06  OECD privacy principles include Collection Limitation, Purpose Specification, and Use Limitation. OECD, Recommendation of the Council concerning Guidelines Governing the Protection of Privacy and Transborder Flows of Personal Data, paras. 7, 9–10 (as amended 2013).</w:t>
      </w:r>
    </w:p>
    <w:p>
      <w:r>
        <w:t>Use / limitation: Authoritative policy antecedent, not U.S. constitutional law.</w:t>
      </w:r>
    </w:p>
    <w:p>
      <w:r>
        <w:t>C-07  Contextual Integrity conceptualizes privacy as appropriate information flow governed by context-specific norms. Helen Nissenbaum, Privacy as Contextual Integrity, 79 Wash. L. Rev. 119 (2004).</w:t>
      </w:r>
    </w:p>
    <w:p>
      <w:r>
        <w:t>Use / limitation: Major antecedent to OIA, but OIA's object is legitimate governmental informational power.</w:t>
      </w:r>
    </w:p>
    <w:p>
      <w:r>
        <w:t>C-08  Privacy by Design embeds privacy proactively into systems and organizational practices. Ann Cavoukian, Privacy by Design: The 7 Foundational Principles (Information &amp; Privacy Commissioner of Ontario 2011).</w:t>
      </w:r>
    </w:p>
    <w:p>
      <w:r>
        <w:t>Use / limitation: Architectural antecedent. Do not claim FC invented structural privacy.</w:t>
      </w:r>
    </w:p>
    <w:p>
      <w:r>
        <w:t>C-09  Information-fiduciary and loyalty scholarship treats entrusted informational relationships as capable of generating special duties. Jack M. Balkin, Information Fiduciaries and the First Amendment, 49 U.C. Davis L. Rev. 1183 (2016); Neil Richards &amp; Woodrow Hartzog, A Duty of Loyalty for Privacy Law, 99 Wash. U. L. Rev. 961 (2022).</w:t>
      </w:r>
    </w:p>
    <w:p>
      <w:r>
        <w:t>Use / limitation: Antecedent. FC's governmental and capability-level synthesis remains distinct.</w:t>
      </w:r>
    </w:p>
    <w:p>
      <w:pPr>
        <w:pStyle w:val="Heading2"/>
      </w:pPr>
      <w:r>
        <w:t>D. Zero Trust, Least Privilege, Authorized Answer, and Structural Least Power</w:t>
      </w:r>
    </w:p>
    <w:p>
      <w:r>
        <w:t>D-01  Least privilege limits authorized access for users and processes to what is necessary to accomplish assigned organizational tasks. Nat'l Inst. of Standards &amp; Tech., Security and Privacy Controls for Information Systems and Organizations, NIST SP 800-53 Rev. 5, AC-6 (2020).</w:t>
      </w:r>
    </w:p>
    <w:p>
      <w:r>
        <w:t>Use / limitation: Technical-security antecedent. Strong analogy for NSIC and Structural Least Power, but not legal authority defining governmental informational power.</w:t>
      </w:r>
    </w:p>
    <w:p>
      <w:r>
        <w:t>D-02  Zero Trust rejects implicit trust based on network location or asset ownership and requires discrete authentication and authorization before access to protected resources. Scott Rose et al., Zero Trust Architecture, NIST SP 800-207, at 1, 4-7 (2020).</w:t>
      </w:r>
    </w:p>
    <w:p>
      <w:r>
        <w:t>Use / limitation: Strong architecture analogy. Zero Trust asks who or what may access a resource; FC additionally asks whether government should possess the informational capability at all.</w:t>
      </w:r>
    </w:p>
    <w:p>
      <w:r>
        <w:t>D-03  NIST SP 800-63 Revision 4 is the current federal Digital Identity Guidelines suite and superseded Revision 3 in 2025. Nat'l Inst. of Standards &amp; Tech., Digital Identity Guidelines, NIST SP 800-63-4 (2025).</w:t>
      </w:r>
    </w:p>
    <w:p>
      <w:r>
        <w:t>Use / limitation: Current technical authority. Use Revision 3 only for historical chronology or when discussing what an earlier FC artifact actually relied upon.</w:t>
      </w:r>
    </w:p>
    <w:p>
      <w:r>
        <w:t>D-04  Current NIST federation guidance states that when a derived attribute value fulfills a relying party's need, the relying party should request the derived value rather than the full attribute value, and explains that derived values can permit processing without revealing the underlying value. Nat'l Inst. of Standards &amp; Tech., Digital Identity Guidelines: Federation and Assertions, NIST SP 800-63C-4 §§ 3.11, 7.3 (2025).</w:t>
      </w:r>
    </w:p>
    <w:p>
      <w:r>
        <w:t>Use / limitation: Strong current technical antecedent to Authorized Answer and selective disclosure. It does not itself establish the FC legal-authority rule.</w:t>
      </w:r>
    </w:p>
    <w:p>
      <w:r>
        <w:t>D-05  NIST SP 800-63C-4 recognizes that federation can give an identity provider visibility into subscriber activity and can enable profiling across relying parties, making federation architecture itself privacy-relevant.</w:t>
      </w:r>
    </w:p>
    <w:p>
      <w:r>
        <w:t>Use / limitation: Technical support for No Phone Home and observability analysis. Do not imply that NIST adopts FC's categorical capability-preclusion rule.</w:t>
      </w:r>
    </w:p>
    <w:p>
      <w:r>
        <w:t>D-06  DHS decentralized-identity implementation requirements seek to prevent hidden issuer-verifier back channels and support holder-controlled selective disclosure.</w:t>
      </w:r>
    </w:p>
    <w:p>
      <w:r>
        <w:t>Use / limitation: Public-sector technical antecedent to No Phone Home and functional decentralization. Verify the exact current DHS implementation-requirement title and version if quoted or cited with a pinpoint.</w:t>
      </w:r>
    </w:p>
    <w:p>
      <w:r>
        <w:t>D-07  Rosenzweig argued that technology should implement existing legal limits rather than become a basis for new governmental powers or capabilities. Paul Rosenzweig, Securing Freedom and the Nation: Collecting Intelligence Under the Law, testimony before the H. Permanent Select Comm. on Intelligence (Apr. 9, 2003).</w:t>
      </w:r>
    </w:p>
    <w:p>
      <w:r>
        <w:t>Use / limitation: ACCP antecedent. Obtain formal hearing pagination before direct quotation.</w:t>
      </w:r>
    </w:p>
    <w:p>
      <w:r>
        <w:t>D-08  The FC Structural Least-Power rule goes beyond these technical antecedents: after identifying legitimate authority, government should maintain only the standing informational capability reasonably necessary for the legitimate standing function.</w:t>
      </w:r>
    </w:p>
    <w:p>
      <w:r>
        <w:t>Use / limitation: D3. Cite FC-TL 2.2 P-45 through P-49, FCGIAS 2.2 IR-01, T-70, CF-79, and SD-13, not NIST, for the FC proposition itself.</w:t>
      </w:r>
    </w:p>
    <w:p>
      <w:pPr>
        <w:pStyle w:val="Heading2"/>
      </w:pPr>
      <w:r>
        <w:t>E. Hard Cases: Benefits, Fraud, Matching, and AI</w:t>
      </w:r>
    </w:p>
    <w:p>
      <w:r>
        <w:t>E-01  SSI eligibility turns on defined criteria including age/disability/blindness, income, and resources. 42 U.S.C. § 1382; 20 C.F.R. § 416.1100; Social Security Administration, SSI Eligibility Requirements (2026).</w:t>
      </w:r>
    </w:p>
    <w:p>
      <w:r>
        <w:t>Use / limitation: Use to build Authorized Answer benefits example without inventing program rules.</w:t>
      </w:r>
    </w:p>
    <w:p>
      <w:r>
        <w:t>E-02  The Do Not Pay Initiative expressly authorizes agencies to review designated databases to verify eligibility and prevent improper payments, and separately regulates ongoing computer matching. 31 U.S.C. § 3354(a)–(d).</w:t>
      </w:r>
    </w:p>
    <w:p>
      <w:r>
        <w:t>Use / limitation: Strong hard-case authority showing that fraud prevention can rest on express, bounded authority rather than generic mission language.</w:t>
      </w:r>
    </w:p>
    <w:p>
      <w:r>
        <w:t>E-03  Congress expressly authorized an HHS integrated data repository and interagency data matching for identifying potential fraud, waste, and abuse in Medicare and Medicaid. 42 U.S.C. § 1320a-7k(a).</w:t>
      </w:r>
    </w:p>
    <w:p>
      <w:r>
        <w:t>Use / limitation: Important counterexample to any claim that integration is always illegitimate. FC must analyze the scope of the express authority and capability created.</w:t>
      </w:r>
    </w:p>
    <w:p>
      <w:r>
        <w:t>E-04  Congress requires predictive analytics in Medicare to analyze large datasets, provider networks, billing patterns, and beneficiary utilization patterns for fraud prevention. 42 U.S.C. § 1320a-7m(a)–(c).</w:t>
      </w:r>
    </w:p>
    <w:p>
      <w:r>
        <w:t>Use / limitation: Strongest statutory hard case for FC. The white paper should concede the affirmative authority and ask whether capability remains bounded to the statutory function.</w:t>
      </w:r>
    </w:p>
    <w:p>
      <w:r>
        <w:t>E-05  NIST AI RMF is a voluntary risk-management framework for AI trustworthiness across the lifecycle. Nat'l Inst. of Standards &amp; Tech., Artificial Intelligence Risk Management Framework (AI RMF 1.0), NIST AI 100-1 (2023).</w:t>
      </w:r>
    </w:p>
    <w:p>
      <w:r>
        <w:t>Use / limitation: Context only. It does not create governmental informational authority.</w:t>
      </w:r>
    </w:p>
    <w:p>
      <w:pPr>
        <w:pStyle w:val="Heading2"/>
      </w:pPr>
      <w:r>
        <w:t>F. Vendors, Contractors, Procurement, and Non-Usurpation</w:t>
      </w:r>
    </w:p>
    <w:p>
      <w:r>
        <w:t>F-01  A government contract, license, regulation, subsidy, or monopoly does not by itself make a private entity a state actor. Manhattan Cmty. Access Corp. v. Halleck, 587 U.S. 802, 809-15 (2019).</w:t>
      </w:r>
    </w:p>
    <w:p>
      <w:r>
        <w:t>Use / limitation: D1. Central Vendor-status safeguard.</w:t>
      </w:r>
    </w:p>
    <w:p>
      <w:r>
        <w:t>F-02  Private conduct can implicate the Fourth Amendment when government compels, actively encourages, endorses, participates in, and seeks the fruits of the conduct. Skinner v. Ry. Labor Execs.' Ass'n, 489 U.S. 602, 614-16 (1989).</w:t>
      </w:r>
    </w:p>
    <w:p>
      <w:r>
        <w:t>Use / limitation: D1. Fact-sensitive state-action/instrumentality analysis.</w:t>
      </w:r>
    </w:p>
    <w:p>
      <w:r>
        <w:t>F-03  Extensive regulation and public funding do not by themselves make private decisions state action; coercion or significant encouragement may. Blum v. Yaretsky, 457 U.S. 991, 1004-12 (1982).</w:t>
      </w:r>
    </w:p>
    <w:p>
      <w:r>
        <w:t>Use / limitation: D1.</w:t>
      </w:r>
    </w:p>
    <w:p>
      <w:r>
        <w:t>F-04  Joint participation with state officials can make private conduct fairly attributable to the State. Lugar v. Edmondson Oil Co., 457 U.S. 922, 936-42 (1982).</w:t>
      </w:r>
    </w:p>
    <w:p>
      <w:r>
        <w:t>Use / limitation: D1.</w:t>
      </w:r>
    </w:p>
    <w:p>
      <w:r>
        <w:t>F-05  The Privacy Act can apply through federal contracts for systems of records operated on behalf of agencies, and such systems are treated as maintained by the agency for specified purposes. 48 C.F.R. § 24.102.</w:t>
      </w:r>
    </w:p>
    <w:p>
      <w:r>
        <w:t>Use / limitation: D1 procurement analogue. It does not establish that every government contractor is a fiduciary.</w:t>
      </w:r>
    </w:p>
    <w:p>
      <w:r>
        <w:t>F-06  Federal IT acquisition rules require privacy and security requirements to be addressed in qualifying contracts and systems. See 48 C.F.R. pt. 39.</w:t>
      </w:r>
    </w:p>
    <w:p>
      <w:r>
        <w:t>Use / limitation: D1 procurement analogue. Confirm the precise FAR subsection and current text before a publication pinpoint.</w:t>
      </w:r>
    </w:p>
    <w:p>
      <w:r>
        <w:t>F-07  FC's Version 2.2 procurement rule is stronger and more specific than these antecedents: government should procure functions and standing capabilities that do not materially exceed Necessary Standing Informational Capability, and Vendor-provided capability available through ordinary arrangements is counted in governmental conformance assessment.</w:t>
      </w:r>
    </w:p>
    <w:p>
      <w:r>
        <w:t>Use / limitation: D3. Cite the FCGIAS 2.2 procurement specification and the Version 2.2 Model Acts for the FC rule.</w:t>
      </w:r>
    </w:p>
    <w:p>
      <w:r>
        <w:t>F-08  Conformance attribution does not itself establish constitutional state action, Vendor fiduciary status, agency, or direct Vendor liability.</w:t>
      </w:r>
    </w:p>
    <w:p>
      <w:r>
        <w:t>Use / limitation: D1 state-action doctrine plus D3 FC separation rule. Analyze each legal category independently.</w:t>
      </w:r>
    </w:p>
    <w:p>
      <w:r>
        <w:t>F-09  Technical standards, conformance tests, procurement specifications, and administrative implementation cannot bootstrap substantive governmental informational authority beyond competent law.</w:t>
      </w:r>
    </w:p>
    <w:p>
      <w:r>
        <w:t>Use / limitation: D1 delegated-authority principle by analogy plus D3 FC Conformance Non-Usurpation rule.</w:t>
      </w:r>
    </w:p>
    <w:p>
      <w:pPr>
        <w:pStyle w:val="Heading2"/>
      </w:pPr>
      <w:r>
        <w:t>G. Positive Legal Authority, Legitimate Informational Authority, and Democratic Departure</w:t>
      </w:r>
    </w:p>
    <w:p>
      <w:r>
        <w:t>G-01  An administrative body may not enlarge its own jurisdiction merely because broader action would advance policy. Louisiana Pub. Serv. Comm'n v. FCC, 476 U.S. 355, 374-75 (1986).</w:t>
      </w:r>
    </w:p>
    <w:p>
      <w:r>
        <w:t>Use / limitation: D1. Strong legal-source/non-bootstrap proposition. It does not itself establish FC's full LIA test.</w:t>
      </w:r>
    </w:p>
    <w:p>
      <w:r>
        <w:t>G-02  Founding-era delegation and public-trust sources support the proposition that governmental power is granted for public purposes and within defined authority. See Module B.</w:t>
      </w:r>
    </w:p>
    <w:p>
      <w:r>
        <w:t>Use / limitation: D1 historical evidence / D2 fiduciary interpretation. Use as foundation, not as proof that the founding generation adopted the modern LIA formulation.</w:t>
      </w:r>
    </w:p>
    <w:p>
      <w:r>
        <w:t>G-03  The Privacy Act's relevance-and-necessity, purpose-notice, compatible-use, and matching-agreement requirements demonstrate that positive law can condition governmental information activity by purpose, necessity, and bounded reuse. 5 U.S.C. § 552a(a)(7), (b)(3), (e)(1), (e)(3), (o).</w:t>
      </w:r>
    </w:p>
    <w:p>
      <w:r>
        <w:t>Use / limitation: D1 antecedents to LIA and Purpose Divergence. They do not create a universal LIA doctrine.</w:t>
      </w:r>
    </w:p>
    <w:p>
      <w:r>
        <w:t>G-04  FC Version 2.2 distinguishes Positive Legal Authority from Legitimate Informational Authority. LIA asks whether the resulting power to know is justified by relationship, purpose, function, necessity, proportionality, informational scope, means, duration, and consequences.</w:t>
      </w:r>
    </w:p>
    <w:p>
      <w:r>
        <w:t>Use / limitation: D3. Cite FC-TL 2.2 P-36 through P-38 and FCGIAS 2.2. Do not attribute the integrated test to existing law.</w:t>
      </w:r>
    </w:p>
    <w:p>
      <w:r>
        <w:t>G-05  A legislature may expressly authorize an informational practice within constitutional and other superior-law limits. FC conformance therefore cannot be used to pretend that a valid express enactment does not exist.</w:t>
      </w:r>
    </w:p>
    <w:p>
      <w:r>
        <w:t>Use / limitation: D3 institutional construction rule grounded in ordinary hierarchy-of-law principles. An express departure can remain unconstitutional or otherwise unlawful under superior law.</w:t>
      </w:r>
    </w:p>
    <w:p>
      <w:r>
        <w:t>G-06  FCGIAS and implementing agencies cannot create substantive authority by technical or regulatory bootstrapping.</w:t>
      </w:r>
    </w:p>
    <w:p>
      <w:r>
        <w:t>Use / limitation: D3 FC rule supported by D1 delegated-authority principles. Distinguish lawful incorporation of standards from independent creation of governmental power.</w:t>
      </w:r>
    </w:p>
    <w:p>
      <w:pPr>
        <w:pStyle w:val="Heading2"/>
      </w:pPr>
      <w:r>
        <w:t>H. Purpose Divergence, Citizen-Originated Purpose, and Anti-Abstraction</w:t>
      </w:r>
    </w:p>
    <w:p>
      <w:r>
        <w:t>H-01  The Privacy Act requires agencies soliciting information to identify authority and principal purposes and restricts routine uses to uses compatible with the collection purpose. 5 U.S.C. § 552a(a)(7), (b)(3), (e)(3).</w:t>
      </w:r>
    </w:p>
    <w:p>
      <w:r>
        <w:t>Use / limitation: D1 purpose-limitation antecedent. Statutory exceptions and program-specific authorities remain controlling.</w:t>
      </w:r>
    </w:p>
    <w:p>
      <w:r>
        <w:t>H-02  OECD privacy principles separately identify Collection Limitation, Purpose Specification, and Use Limitation.</w:t>
      </w:r>
    </w:p>
    <w:p>
      <w:r>
        <w:t>Use / limitation: Authoritative policy antecedent, not U.S. constitutional law.</w:t>
      </w:r>
    </w:p>
    <w:p>
      <w:r>
        <w:t>H-03  Contextual Integrity treats privacy as appropriate information flow according to context-specific norms. Helen Nissenbaum, Privacy as Contextual Integrity, 79 Wash. L. Rev. 119 (2004).</w:t>
      </w:r>
    </w:p>
    <w:p>
      <w:r>
        <w:t>Use / limitation: Major conceptual antecedent. FC's object is legitimate governmental informational authority and capability.</w:t>
      </w:r>
    </w:p>
    <w:p>
      <w:r>
        <w:t>H-04  FC Version 2.2 treats a material departure from the Originating Informational Purpose as a distinct legitimacy event and classifies justification as IJ-1 Purpose-Constitutive, IJ-2 Purpose-Protective, IJ-3 Purpose-Divergent, or IJ-4 Purpose-Generalized.</w:t>
      </w:r>
    </w:p>
    <w:p>
      <w:r>
        <w:t>Use / limitation: D3 FC taxonomy. Do not present IJ levels as statutory or judicial categories.</w:t>
      </w:r>
    </w:p>
    <w:p>
      <w:r>
        <w:t>H-05  Where an individual voluntarily initiates a governmental interaction, Citizen-Originated Purpose presumptively defines the initial informational boundary, subject to independently sufficient governmental authority for materially divergent functions.</w:t>
      </w:r>
    </w:p>
    <w:p>
      <w:r>
        <w:t>Use / limitation: D3. Do not convert the principle into consent absolutism or a citizen veto over independently legitimate sovereign functions.</w:t>
      </w:r>
    </w:p>
    <w:p>
      <w:r>
        <w:t>H-06  Broad labels such as public safety, fraud prevention, program integrity, analytics, efficiency, or citizen services cannot by themselves establish the particular informational legitimacy of materially broader capability.</w:t>
      </w:r>
    </w:p>
    <w:p>
      <w:r>
        <w:t>Use / limitation: D3 Anti-Abstraction rule with particularity and purpose-limitation antecedents. D4 if asserted as a categorical constitutional rule.</w:t>
      </w:r>
    </w:p>
    <w:p>
      <w:pPr>
        <w:pStyle w:val="Heading1"/>
      </w:pPr>
      <w:r>
        <w:t>IV. Controlling FC Primary-Source Module</w:t>
      </w:r>
    </w:p>
    <w:p>
      <w:r>
        <w:t>FC-01  Antecedent Verifiable Government: USA V1 documents Utility, Security, and Autonomy as foundational principles; delegation/guardianship and offline alternatives under Utility; verifiability and fraud prevention under Security; and privacy, confidentiality, individual control, least disclosure/specific purpose, transparency, and recourse under Autonomy.</w:t>
      </w:r>
    </w:p>
    <w:p>
      <w:r>
        <w:t>Use / limitation: Use as 2023-2024 antecedent evidence under PR-01. Later copy dates do not establish concept-origin dates.</w:t>
      </w:r>
    </w:p>
    <w:p>
      <w:r>
        <w:t>FC-02  Decentralization provenance: USA V1 connects individual control to an individual-focused, decentralized identity protocol.</w:t>
      </w:r>
    </w:p>
    <w:p>
      <w:r>
        <w:t>Use / limitation: Establishes decentralization as a deep antecedent rather than a late implementation preference.</w:t>
      </w:r>
    </w:p>
    <w:p>
      <w:r>
        <w:t>FC-03  OIA hierarchy: FCGIAS Version 2.2 preserves OIA as the general theory of legitimate informational power, FC as the constitutional/fiduciary governance model, and FCGIAS as the technical/institutional architecture.</w:t>
      </w:r>
    </w:p>
    <w:p>
      <w:r>
        <w:t>Use / limitation: Controlling current hierarchy. FCGIAS does not independently create legal authority.</w:t>
      </w:r>
    </w:p>
    <w:p>
      <w:r>
        <w:t>FC-04  Governmental informational power: FCGIAS Version 2.2 asks what informational power government has built for itself and evaluates effective capability rather than labels or topology.</w:t>
      </w:r>
    </w:p>
    <w:p>
      <w:r>
        <w:t>Use / limitation: Controlling FC source for capability as the object of architecture.</w:t>
      </w:r>
    </w:p>
    <w:p>
      <w:r>
        <w:t>FC-05  Ordered Informational Authority: OIA allocates the power to obtain, verify, know, correlate, infer, disclose, retain, and act upon information according to legitimate relationships, purposes, jurisdiction, and authority.</w:t>
      </w:r>
    </w:p>
    <w:p>
      <w:r>
        <w:t>Use / limitation: Controlling current definition.</w:t>
      </w:r>
    </w:p>
    <w:p>
      <w:r>
        <w:t>FC-06  General-Warrant Diagnostic: FCGIAS preserves architecture-as-completed-Fourth-Amendment-search as proposed D4 development and does not present an 'Otis Test' as settled doctrine.</w:t>
      </w:r>
    </w:p>
    <w:p>
      <w:r>
        <w:t>Use / limitation: Mandatory doctrinal-candor source.</w:t>
      </w:r>
    </w:p>
    <w:p>
      <w:r>
        <w:t>FC-07  Authorized Answer: Give government the answer it is authorized to obtain, not automatically the entire informational environment from which the answer can be derived.</w:t>
      </w:r>
    </w:p>
    <w:p>
      <w:r>
        <w:t>Use / limitation: Controlling FC formulation.</w:t>
      </w:r>
    </w:p>
    <w:p>
      <w:r>
        <w:t>FC-08  PLA / LIA distinction: Positive Legal Authority identifies a competent legal source; Legitimate Informational Authority separately asks whether the resulting informational power is substantively justified.</w:t>
      </w:r>
    </w:p>
    <w:p>
      <w:r>
        <w:t>Use / limitation: Version 2.2 controlling proposition. Positive law is not self-validating for FC conformance.</w:t>
      </w:r>
    </w:p>
    <w:p>
      <w:r>
        <w:t>FC-09  Citizen-Originated Purpose and Purpose Divergence: Version 2.2 elevates the individual's originating purpose in voluntarily initiated interactions and treats material divergence as a distinct legitimacy event.</w:t>
      </w:r>
    </w:p>
    <w:p>
      <w:r>
        <w:t>Use / limitation: Controlling FC formulation, subject to independently legitimate sovereign functions.</w:t>
      </w:r>
    </w:p>
    <w:p>
      <w:r>
        <w:t>FC-10  Informational Justification Levels: Version 2.2 classifies IJ-1 Purpose-Constitutive, IJ-2 Purpose-Protective, IJ-3 Purpose-Divergent, and IJ-4 Purpose-Generalized.</w:t>
      </w:r>
    </w:p>
    <w:p>
      <w:r>
        <w:t>Use / limitation: FC taxonomy, not existing legal doctrine.</w:t>
      </w:r>
    </w:p>
    <w:p>
      <w:r>
        <w:t>FC-11  Anti-Abstraction: Generalized purpose labels do not by themselves justify materially broader informational power.</w:t>
      </w:r>
    </w:p>
    <w:p>
      <w:r>
        <w:t>Use / limitation: Controlling Version 2.2 rule.</w:t>
      </w:r>
    </w:p>
    <w:p>
      <w:r>
        <w:t>FC-12  IR-01 nested capability relation: Standing Technical Informational Capability must correspond to, and not materially exceed, Necessary Standing Informational Capability, which must remain within Standing Legitimate Informational Authority.</w:t>
      </w:r>
    </w:p>
    <w:p>
      <w:r>
        <w:t>Use / limitation: Controlling shorthand: STIC ≤ NSIC ≤ SLIA. Normative containment, not mathematical measurement.</w:t>
      </w:r>
    </w:p>
    <w:p>
      <w:r>
        <w:t>FC-13  Structural Least Power: Before graduated informational justification, determine whether a materially less informationally powerful architecture can reasonably perform the legitimate standing function.</w:t>
      </w:r>
    </w:p>
    <w:p>
      <w:r>
        <w:t>Use / limitation: IR-01 controlling clarification; T-70, CF-79, SD-13.</w:t>
      </w:r>
    </w:p>
    <w:p>
      <w:r>
        <w:t>FC-14  No Phone Home: No Phone Home is a deep 2023-2024 antecedent and a canonical Structural Least-Power example: avoid unnecessary issuer, identity-provider, intermediary, or unrelated governmental observability where verification can occur without it.</w:t>
      </w:r>
    </w:p>
    <w:p>
      <w:r>
        <w:t>Use / limitation: Controlling provenance and architectural classification.</w:t>
      </w:r>
    </w:p>
    <w:p>
      <w:r>
        <w:t>FC-15  Materially Renewed Authorization: Materially broader knowledge or capability requires a legally and substantively sufficient expansion of relationship, predicate, purpose, authority, and, for standing capability, necessity.</w:t>
      </w:r>
    </w:p>
    <w:p>
      <w:r>
        <w:t>Use / limitation: Version 2.2 formulation.</w:t>
      </w:r>
    </w:p>
    <w:p>
      <w:r>
        <w:t>FC-16  Conformance Non-Usurpation: FCGIAS, audits, conformance tests, and procurement specifications do not independently create governmental informational authority.</w:t>
      </w:r>
    </w:p>
    <w:p>
      <w:r>
        <w:t>Use / limitation: Controlling Version 2.2 institutional rule.</w:t>
      </w:r>
    </w:p>
    <w:p>
      <w:r>
        <w:t>FC-17  Vendor correction: Government remains the governmental fiduciary. Vendor status alone does not create fiduciary status. Vendor obligations arise from applicable law, procurement, contract, agency where applicable, and direct statutory obligations. Government cannot evade its duties by outsourcing.</w:t>
      </w:r>
    </w:p>
    <w:p>
      <w:r>
        <w:t>Use / limitation: Mandatory current Vendor rule.</w:t>
      </w:r>
    </w:p>
    <w:p>
      <w:r>
        <w:t>FC-18  Vendor capability attribution: Capability government can exercise through ordinary Vendor arrangements is attributed to government for conformance assessment without that attribution itself establishing state action or Vendor fiduciary status.</w:t>
      </w:r>
    </w:p>
    <w:p>
      <w:r>
        <w:t>Use / limitation: Controlling current conformance rule.</w:t>
      </w:r>
    </w:p>
    <w:p>
      <w:r>
        <w:t>FC-19  AI boundary inheritance: Algorithmic and agentic systems inherit the purpose, authority, jurisdiction, domain, operation, predicate, duration, disclosure, retention, consequence, LIA, and capability boundaries of the governmental function they serve.</w:t>
      </w:r>
    </w:p>
    <w:p>
      <w:r>
        <w:t>Use / limitation: Controlling GAAFA/FCGIAS Version 2.2 rule.</w:t>
      </w:r>
    </w:p>
    <w:p>
      <w:r>
        <w:t>FC-20  Current Model Act trilogy: PDTA, VIDA, and GAAFA Version 2.2 TRI-PATCH-01 Freeze Candidates are the current reader-facing Model Acts after the trilogy-wide audit and narrow verification PASS.</w:t>
      </w:r>
    </w:p>
    <w:p>
      <w:r>
        <w:t>Use / limitation: Use current Freeze Candidate Acts for normative legislative references; use RC4.1 and first clean restatements only for provenance.</w:t>
      </w:r>
    </w:p>
    <w:p>
      <w:r>
        <w:t>FC-21  Current NTM and conformance suite: The reader-facing traceability and conformance controls run through T-70 and CF-79, with SD-13 identifying unnecessary standing capability as a structural defect.</w:t>
      </w:r>
    </w:p>
    <w:p>
      <w:r>
        <w:t>Use / limitation: Current control layer for Version 2.2.</w:t>
      </w:r>
    </w:p>
    <w:p>
      <w:pPr>
        <w:pStyle w:val="Heading1"/>
      </w:pPr>
      <w:r>
        <w:t>V. Footnote Architecture by White-Paper Part</w:t>
      </w:r>
    </w:p>
    <w:tbl>
      <w:tblPr>
        <w:tblStyle w:val="TableGrid"/>
        <w:tblW w:type="auto" w:w="0"/>
        <w:tblLook w:firstColumn="1" w:firstRow="1" w:lastColumn="0" w:lastRow="0" w:noHBand="0" w:noVBand="1" w:val="04A0"/>
      </w:tblPr>
      <w:tblGrid>
        <w:gridCol w:w="5112"/>
        <w:gridCol w:w="5112"/>
      </w:tblGrid>
      <w:tr>
        <w:trPr>
          <w:tblHeader w:val="true"/>
          <w:cantSplit/>
        </w:trPr>
        <w:tc>
          <w:tcPr>
            <w:tcW w:type="dxa" w:w="5112"/>
          </w:tcPr>
          <w:p>
            <w:r>
              <w:t>White-paper part</w:t>
            </w:r>
          </w:p>
        </w:tc>
        <w:tc>
          <w:tcPr>
            <w:tcW w:type="dxa" w:w="5112"/>
          </w:tcPr>
          <w:p>
            <w:r>
              <w:t>Controlling note cluster</w:t>
            </w:r>
          </w:p>
        </w:tc>
      </w:tr>
      <w:tr>
        <w:trPr>
          <w:cantSplit/>
        </w:trPr>
        <w:tc>
          <w:tcPr>
            <w:tcW w:type="dxa" w:w="5112"/>
          </w:tcPr>
          <w:p>
            <w:r>
              <w:t>Introduction / Thesis</w:t>
            </w:r>
          </w:p>
        </w:tc>
        <w:tc>
          <w:tcPr>
            <w:tcW w:type="dxa" w:w="5112"/>
          </w:tcPr>
          <w:p>
            <w:r>
              <w:t>FC-TL P-08, P-10, P-11, P-25, P-36 through P-38, P-45 through P-49. Use Chatrie only for what the Court decided; signal FC extension for architecture-as-power.</w:t>
            </w:r>
          </w:p>
        </w:tc>
      </w:tr>
      <w:tr>
        <w:trPr>
          <w:cantSplit/>
        </w:trPr>
        <w:tc>
          <w:tcPr>
            <w:tcW w:type="dxa" w:w="5112"/>
          </w:tcPr>
          <w:p>
            <w:r>
              <w:t>Part I, fiduciary foundation</w:t>
            </w:r>
          </w:p>
        </w:tc>
        <w:tc>
          <w:tcPr>
            <w:tcW w:type="dxa" w:w="5112"/>
          </w:tcPr>
          <w:p>
            <w:r>
              <w:t>Maryland Declaration of Rights; Iredell; Federalist 57 and 65; Madison; Natelson; Lawson &amp; Seidman; Bray &amp; Miller and other counterauthority. Separate historical evidence from modern fiduciary cause-of-action claims.</w:t>
            </w:r>
          </w:p>
        </w:tc>
      </w:tr>
      <w:tr>
        <w:trPr>
          <w:cantSplit/>
        </w:trPr>
        <w:tc>
          <w:tcPr>
            <w:tcW w:type="dxa" w:w="5112"/>
          </w:tcPr>
          <w:p>
            <w:r>
              <w:t>Part II, prehistory and antecedents</w:t>
            </w:r>
          </w:p>
        </w:tc>
        <w:tc>
          <w:tcPr>
            <w:tcW w:type="dxa" w:w="5112"/>
          </w:tcPr>
          <w:p>
            <w:r>
              <w:t>USA V1 and Ruff/Leahy Verifiable Government materials under PR-01; Privacy Act; FIPPs/OECD; Privacy by Design; NIST/DHS identity antecedents. Do not infer origin date from later copy date.</w:t>
            </w:r>
          </w:p>
        </w:tc>
      </w:tr>
      <w:tr>
        <w:trPr>
          <w:cantSplit/>
        </w:trPr>
        <w:tc>
          <w:tcPr>
            <w:tcW w:type="dxa" w:w="5112"/>
          </w:tcPr>
          <w:p>
            <w:r>
              <w:t>Part III, architecture</w:t>
            </w:r>
          </w:p>
        </w:tc>
        <w:tc>
          <w:tcPr>
            <w:tcW w:type="dxa" w:w="5112"/>
          </w:tcPr>
          <w:p>
            <w:r>
              <w:t>FCGIAS 2.2; OIA; Authorized Answer; Purpose Particularity; PLA/LIA; Citizen-Originated Purpose; Purpose Divergence; Anti-Abstraction; SLIA/NSIC/STIC; Structural Least Power; No Phone Home.</w:t>
            </w:r>
          </w:p>
        </w:tc>
      </w:tr>
      <w:tr>
        <w:trPr>
          <w:cantSplit/>
        </w:trPr>
        <w:tc>
          <w:tcPr>
            <w:tcW w:type="dxa" w:w="5112"/>
          </w:tcPr>
          <w:p>
            <w:r>
              <w:t>Part IV, constitutional bridge</w:t>
            </w:r>
          </w:p>
        </w:tc>
        <w:tc>
          <w:tcPr>
            <w:tcW w:type="dxa" w:w="5112"/>
          </w:tcPr>
          <w:p>
            <w:r>
              <w:t>Riley; Carpenter; Chatrie; Garrison; Stanford; Marron; Berger; Steagald; Ybarra; Wright 2026. Mark architecture-as-search as FC extension/D4.</w:t>
            </w:r>
          </w:p>
        </w:tc>
      </w:tr>
      <w:tr>
        <w:trPr>
          <w:cantSplit/>
        </w:trPr>
        <w:tc>
          <w:tcPr>
            <w:tcW w:type="dxa" w:w="5112"/>
          </w:tcPr>
          <w:p>
            <w:r>
              <w:t>Part V, hard cases</w:t>
            </w:r>
          </w:p>
        </w:tc>
        <w:tc>
          <w:tcPr>
            <w:tcW w:type="dxa" w:w="5112"/>
          </w:tcPr>
          <w:p>
            <w:r>
              <w:t>SSI; Do Not Pay; Privacy Act matching; Medicare/Medicaid fraud statutes; NIST AI RMF. Concede affirmative statutory authority where it exists, then test purpose, scope, LIA, NSIC, and capability.</w:t>
            </w:r>
          </w:p>
        </w:tc>
      </w:tr>
      <w:tr>
        <w:trPr>
          <w:cantSplit/>
        </w:trPr>
        <w:tc>
          <w:tcPr>
            <w:tcW w:type="dxa" w:w="5112"/>
          </w:tcPr>
          <w:p>
            <w:r>
              <w:t>Part VI, institutionalization</w:t>
            </w:r>
          </w:p>
        </w:tc>
        <w:tc>
          <w:tcPr>
            <w:tcW w:type="dxa" w:w="5112"/>
          </w:tcPr>
          <w:p>
            <w:r>
              <w:t>FCGIAS 2.2; T-01 through T-70; CF-01 through CF-79; SD-13; procurement specification; TRI-PATCH-01 Model Act Freeze Candidates; Vendor/state-action cases.</w:t>
            </w:r>
          </w:p>
        </w:tc>
      </w:tr>
      <w:tr>
        <w:trPr>
          <w:cantSplit/>
        </w:trPr>
        <w:tc>
          <w:tcPr>
            <w:tcW w:type="dxa" w:w="5112"/>
          </w:tcPr>
          <w:p>
            <w:r>
              <w:t>Conclusion</w:t>
            </w:r>
          </w:p>
        </w:tc>
        <w:tc>
          <w:tcPr>
            <w:tcW w:type="dxa" w:w="5112"/>
          </w:tcPr>
          <w:p>
            <w:r>
              <w:t>Return to delegated authority, OIA, FC hierarchy, authority as ceiling, Structural Least Power, and the proposition that broader capability should require expansion of both legitimate authority and necessity.</w:t>
            </w:r>
          </w:p>
        </w:tc>
      </w:tr>
    </w:tbl>
    <w:p>
      <w:pPr>
        <w:pStyle w:val="Heading1"/>
      </w:pPr>
      <w:r>
        <w:t>VI. Hard-Case Drafting Controls</w:t>
      </w:r>
    </w:p>
    <w:p>
      <w:r>
        <w:t>Benefits / no-wrong-door: use SSI as a clean eligibility illustration. Separate the legitimate question to be answered from unnecessary cross-program acquisition. Do not imply SSI currently operates through FC architecture.</w:t>
      </w:r>
    </w:p>
    <w:p>
      <w:r>
        <w:t>Fraud / program integrity: use 31 U.S.C. § 3354 and 42 U.S.C. §§ 1320a-7k and 1320a-7m as affirmative grants. FC must concede the authority and then ask whether purpose, scope, LIA, NSIC, correlation, retention, and consequence remain bounded.</w:t>
      </w:r>
    </w:p>
    <w:p>
      <w:r>
        <w:t>Digital identity: use current NIST SP 800-63C-4 derived-attribute guidance and appropriate DHS decentralized-identity requirements as technical antecedents. FC supplies the authority, PIT, No Phone Home, and Structural Least-Power rationale.</w:t>
      </w:r>
    </w:p>
    <w:p>
      <w:r>
        <w:t>AI / agentic government: use NIST AI RMF only for risk-governance context. The authority rule comes from law and FC: computational capability does not bootstrap authority, and AI inherits the governmental function's legitimacy and capability boundaries.</w:t>
      </w:r>
    </w:p>
    <w:p>
      <w:r>
        <w:t>Vendor systems: count capability government can exercise through ordinary contractual or technical arrangements for conformance, but separately analyze Vendor status, direct duties, agency, and constitutional state action.</w:t>
      </w:r>
    </w:p>
    <w:p>
      <w:r>
        <w:t>Express legislative authorization: do not treat integration or analytics as categorically illegitimate. Record the positive authority, then separately analyze FC legitimacy, purpose divergence, necessity, and superior-law constraints.</w:t>
      </w:r>
    </w:p>
    <w:p>
      <w:pPr>
        <w:pStyle w:val="Heading1"/>
      </w:pPr>
      <w:r>
        <w:t>VII. Citation-Ready Claims and Mandatory Qualifications</w:t>
      </w:r>
    </w:p>
    <w:p>
      <w:r>
        <w:rPr>
          <w:b/>
        </w:rPr>
        <w:t xml:space="preserve">SAFE: </w:t>
      </w:r>
      <w:r>
        <w:t>“The Supreme Court held in Chatrie that police conduct a Fourth Amendment search when they gain access to a person's Google Location History, even for a limited period and from a third-party technology company.”</w:t>
      </w:r>
    </w:p>
    <w:p>
      <w:r>
        <w:rPr>
          <w:b/>
        </w:rPr>
        <w:t xml:space="preserve">SAFE WITH INFERENCE SIGNAL: </w:t>
      </w:r>
      <w:r>
        <w:t>“Chatrie's reasoning makes the capability of the surveillance instrument constitutionally salient. Fiduciary Commons argues that this insight should extend from the acquisition before the Court to the standing architecture that makes generalized acquisition possible.”</w:t>
      </w:r>
    </w:p>
    <w:p>
      <w:r>
        <w:rPr>
          <w:b/>
        </w:rPr>
        <w:t xml:space="preserve">NOT SAFE: </w:t>
      </w:r>
      <w:r>
        <w:t>“Chatrie held that standing surveillance architecture is itself unconstitutional.”</w:t>
      </w:r>
    </w:p>
    <w:p>
      <w:r>
        <w:rPr>
          <w:b/>
        </w:rPr>
        <w:t xml:space="preserve">SAFE: </w:t>
      </w:r>
      <w:r>
        <w:t>“The Privacy Act embodies relevance, necessity, purpose, compatible-use, and computer-matching constraints for federal systems of records.”</w:t>
      </w:r>
    </w:p>
    <w:p>
      <w:r>
        <w:rPr>
          <w:b/>
        </w:rPr>
        <w:t xml:space="preserve">SAFE: </w:t>
      </w:r>
      <w:r>
        <w:t>“NIST least privilege and Zero Trust provide important technical antecedents to Structural Least Power, but they do not establish the FC legal rule governing the amount of informational capability government should possess.”</w:t>
      </w:r>
    </w:p>
    <w:p>
      <w:r>
        <w:rPr>
          <w:b/>
        </w:rPr>
        <w:t xml:space="preserve">SAFE: </w:t>
      </w:r>
      <w:r>
        <w:t>“NIST SP 800-63C-4 recommends derived attribute values when they satisfy a relying party's functional need, providing a current technical analogue to Authorized Answer.”</w:t>
      </w:r>
    </w:p>
    <w:p>
      <w:r>
        <w:rPr>
          <w:b/>
        </w:rPr>
        <w:t xml:space="preserve">SAFE: </w:t>
      </w:r>
      <w:r>
        <w:t>“Positive Legal Authority and Legitimate Informational Authority are distinct within Fiduciary Commons; the integrated LIA test is an FC synthesis, not a claim that current law universally uses that doctrine.”</w:t>
      </w:r>
    </w:p>
    <w:p>
      <w:r>
        <w:rPr>
          <w:b/>
        </w:rPr>
        <w:t xml:space="preserve">SAFE: </w:t>
      </w:r>
      <w:r>
        <w:t>“Within Fiduciary Commons, legitimate authority is an outer ceiling rather than a specification for maximum standing capability. Standing capability should not materially exceed what is reasonably necessary for the legitimate standing function.”</w:t>
      </w:r>
    </w:p>
    <w:p>
      <w:r>
        <w:rPr>
          <w:b/>
        </w:rPr>
        <w:t xml:space="preserve">SAFE: </w:t>
      </w:r>
      <w:r>
        <w:t>“The four Informational Justification Levels are a Fiduciary Commons taxonomy informed by purpose-limitation antecedents; they are not existing statutory categories.”</w:t>
      </w:r>
    </w:p>
    <w:p>
      <w:r>
        <w:rPr>
          <w:b/>
        </w:rPr>
        <w:t xml:space="preserve">SAFE: </w:t>
      </w:r>
      <w:r>
        <w:t>“A government contract does not by itself make a Vendor a state actor or governmental fiduciary.”</w:t>
      </w:r>
    </w:p>
    <w:p>
      <w:r>
        <w:rPr>
          <w:b/>
        </w:rPr>
        <w:t xml:space="preserve">SAFE: </w:t>
      </w:r>
      <w:r>
        <w:t>“FCGIAS counts capability actually available to government through ordinary Vendor arrangements when assessing governmental conformance, without treating that attribution as constitutional state-action attribution.”</w:t>
      </w:r>
    </w:p>
    <w:p>
      <w:r>
        <w:rPr>
          <w:b/>
        </w:rPr>
        <w:t xml:space="preserve">SAFE: </w:t>
      </w:r>
      <w:r>
        <w:t>“Federal law sometimes affirmatively authorizes large-scale matching and predictive analytics. Fiduciary Commons therefore asks whether the resulting capability remains within legitimate authority and whether ordinary standing capability is reasonably necessary for that function.”</w:t>
      </w:r>
    </w:p>
    <w:p>
      <w:r>
        <w:rPr>
          <w:b/>
        </w:rPr>
        <w:t xml:space="preserve">NOT SAFE: </w:t>
      </w:r>
      <w:r>
        <w:t>“NIST least privilege, Zero Trust, or the Privacy Act already establish Structural Least Power, LIA, or the FC Informational Justification Levels.”</w:t>
      </w:r>
    </w:p>
    <w:p>
      <w:pPr>
        <w:pStyle w:val="Heading1"/>
      </w:pPr>
      <w:r>
        <w:t>VIII. Publication-Stage Cite and Source Checks</w:t>
      </w:r>
    </w:p>
    <w:p>
      <w:pPr>
        <w:pStyle w:val="ListBullet"/>
      </w:pPr>
      <w:r>
        <w:t>Replace Chatrie slip-opinion citation with official U.S. Reports pagination if available before publication; otherwise retain accurate slip-opinion citation.</w:t>
      </w:r>
    </w:p>
    <w:p>
      <w:pPr>
        <w:pStyle w:val="ListBullet"/>
      </w:pPr>
      <w:r>
        <w:t>Check final print-edition page for Iredell if the white paper uses Elliot rather than an institutional electronic primary source.</w:t>
      </w:r>
    </w:p>
    <w:p>
      <w:pPr>
        <w:pStyle w:val="ListBullet"/>
      </w:pPr>
      <w:r>
        <w:t>Check final publication metadata and pinpoint pages for Natelson, Lawson and Seidman, Bray and Miller, Primus, Mikhail, Nissenbaum, Balkin, Richards and Hartzog, and Cofone.</w:t>
      </w:r>
    </w:p>
    <w:p>
      <w:pPr>
        <w:pStyle w:val="ListBullet"/>
      </w:pPr>
      <w:r>
        <w:t>If quoting Rosenzweig, obtain the formal House hearing citation and transcript page rather than relying only on reproduced testimony.</w:t>
      </w:r>
    </w:p>
    <w:p>
      <w:pPr>
        <w:pStyle w:val="ListBullet"/>
      </w:pPr>
      <w:r>
        <w:t>Use NIST SP 800-63 Revision 4 for current digital-identity propositions. Retain Revision 3 only where historically necessary.</w:t>
      </w:r>
    </w:p>
    <w:p>
      <w:pPr>
        <w:pStyle w:val="ListBullet"/>
      </w:pPr>
      <w:r>
        <w:t>Verify the exact current DHS decentralized-identity implementation-requirement title/version before quoting or using a pinpoint.</w:t>
      </w:r>
    </w:p>
    <w:p>
      <w:pPr>
        <w:pStyle w:val="ListBullet"/>
      </w:pPr>
      <w:r>
        <w:t>Confirm current FAR section text before final publication pinpoints for contractor Privacy Act and IT privacy/security requirements.</w:t>
      </w:r>
    </w:p>
    <w:p>
      <w:pPr>
        <w:pStyle w:val="ListBullet"/>
      </w:pPr>
      <w:r>
        <w:t>Current FC normative references must use FCGIAS Version 2.2 Candidate Standard, Consolidated Controlling Edition; NTM T-01 through T-70; CF-01 through CF-79; current procurement specification; and TRI-PATCH-01 Model Act Freeze Candidates.</w:t>
      </w:r>
    </w:p>
    <w:p>
      <w:pPr>
        <w:pStyle w:val="ListBullet"/>
      </w:pPr>
      <w:r>
        <w:t>Historical FCGIAS Version 2.1 and RC4.1 legislative citations should remain where the manuscript is making a provenance or developmental-history claim.</w:t>
      </w:r>
    </w:p>
    <w:p>
      <w:pPr>
        <w:pStyle w:val="ListBullet"/>
      </w:pPr>
      <w:r>
        <w:t>Any new factual claim introduced during the final manuscript pass must be verified against a primary or authoritative source before the note is frozen.</w:t>
      </w:r>
    </w:p>
    <w:p>
      <w:pPr>
        <w:pStyle w:val="Heading1"/>
      </w:pPr>
      <w:r>
        <w:t>IX. WP-PAM 0.3 to Dossier Crosswalk</w:t>
      </w:r>
    </w:p>
    <w:tbl>
      <w:tblPr>
        <w:tblStyle w:val="TableGrid"/>
        <w:tblW w:type="auto" w:w="0"/>
        <w:tblLook w:firstColumn="1" w:firstRow="1" w:lastColumn="0" w:lastRow="0" w:noHBand="0" w:noVBand="1" w:val="04A0"/>
      </w:tblPr>
      <w:tblGrid>
        <w:gridCol w:w="3408"/>
        <w:gridCol w:w="3408"/>
        <w:gridCol w:w="3408"/>
      </w:tblGrid>
      <w:tr>
        <w:trPr>
          <w:tblHeader w:val="true"/>
          <w:cantSplit/>
        </w:trPr>
        <w:tc>
          <w:tcPr>
            <w:tcW w:type="dxa" w:w="3408"/>
          </w:tcPr>
          <w:p>
            <w:r>
              <w:t>FC-TL</w:t>
            </w:r>
          </w:p>
        </w:tc>
        <w:tc>
          <w:tcPr>
            <w:tcW w:type="dxa" w:w="3408"/>
          </w:tcPr>
          <w:p>
            <w:r>
              <w:t>Subject</w:t>
            </w:r>
          </w:p>
        </w:tc>
        <w:tc>
          <w:tcPr>
            <w:tcW w:type="dxa" w:w="3408"/>
          </w:tcPr>
          <w:p>
            <w:r>
              <w:t>Controlling dossier sources</w:t>
            </w:r>
          </w:p>
        </w:tc>
      </w:tr>
      <w:tr>
        <w:trPr>
          <w:cantSplit/>
        </w:trPr>
        <w:tc>
          <w:tcPr>
            <w:tcW w:type="dxa" w:w="3408"/>
          </w:tcPr>
          <w:p>
            <w:r>
              <w:t>P-36</w:t>
            </w:r>
          </w:p>
        </w:tc>
        <w:tc>
          <w:tcPr>
            <w:tcW w:type="dxa" w:w="3408"/>
          </w:tcPr>
          <w:p>
            <w:r>
              <w:t>PLA</w:t>
            </w:r>
          </w:p>
        </w:tc>
        <w:tc>
          <w:tcPr>
            <w:tcW w:type="dxa" w:w="3408"/>
          </w:tcPr>
          <w:p>
            <w:r>
              <w:t>B-06; G-01; FC-08</w:t>
            </w:r>
          </w:p>
        </w:tc>
      </w:tr>
      <w:tr>
        <w:trPr>
          <w:cantSplit/>
        </w:trPr>
        <w:tc>
          <w:tcPr>
            <w:tcW w:type="dxa" w:w="3408"/>
          </w:tcPr>
          <w:p>
            <w:r>
              <w:t>P-37</w:t>
            </w:r>
          </w:p>
        </w:tc>
        <w:tc>
          <w:tcPr>
            <w:tcW w:type="dxa" w:w="3408"/>
          </w:tcPr>
          <w:p>
            <w:r>
              <w:t>LIA</w:t>
            </w:r>
          </w:p>
        </w:tc>
        <w:tc>
          <w:tcPr>
            <w:tcW w:type="dxa" w:w="3408"/>
          </w:tcPr>
          <w:p>
            <w:r>
              <w:t>B module; C-01 through C-09; G-02 through G-04; FC-08</w:t>
            </w:r>
          </w:p>
        </w:tc>
      </w:tr>
      <w:tr>
        <w:trPr>
          <w:cantSplit/>
        </w:trPr>
        <w:tc>
          <w:tcPr>
            <w:tcW w:type="dxa" w:w="3408"/>
          </w:tcPr>
          <w:p>
            <w:r>
              <w:t>P-38</w:t>
            </w:r>
          </w:p>
        </w:tc>
        <w:tc>
          <w:tcPr>
            <w:tcW w:type="dxa" w:w="3408"/>
          </w:tcPr>
          <w:p>
            <w:r>
              <w:t>SLIA</w:t>
            </w:r>
          </w:p>
        </w:tc>
        <w:tc>
          <w:tcPr>
            <w:tcW w:type="dxa" w:w="3408"/>
          </w:tcPr>
          <w:p>
            <w:r>
              <w:t>D-01; D-02; G module; FC-12</w:t>
            </w:r>
          </w:p>
        </w:tc>
      </w:tr>
      <w:tr>
        <w:trPr>
          <w:cantSplit/>
        </w:trPr>
        <w:tc>
          <w:tcPr>
            <w:tcW w:type="dxa" w:w="3408"/>
          </w:tcPr>
          <w:p>
            <w:r>
              <w:t>P-39</w:t>
            </w:r>
          </w:p>
        </w:tc>
        <w:tc>
          <w:tcPr>
            <w:tcW w:type="dxa" w:w="3408"/>
          </w:tcPr>
          <w:p>
            <w:r>
              <w:t>Citizen-Originated Purpose</w:t>
            </w:r>
          </w:p>
        </w:tc>
        <w:tc>
          <w:tcPr>
            <w:tcW w:type="dxa" w:w="3408"/>
          </w:tcPr>
          <w:p>
            <w:r>
              <w:t>C-02; C-03; H-01 through H-05; FC-09</w:t>
            </w:r>
          </w:p>
        </w:tc>
      </w:tr>
      <w:tr>
        <w:trPr>
          <w:cantSplit/>
        </w:trPr>
        <w:tc>
          <w:tcPr>
            <w:tcW w:type="dxa" w:w="3408"/>
          </w:tcPr>
          <w:p>
            <w:r>
              <w:t>P-40</w:t>
            </w:r>
          </w:p>
        </w:tc>
        <w:tc>
          <w:tcPr>
            <w:tcW w:type="dxa" w:w="3408"/>
          </w:tcPr>
          <w:p>
            <w:r>
              <w:t>Purpose Divergence</w:t>
            </w:r>
          </w:p>
        </w:tc>
        <w:tc>
          <w:tcPr>
            <w:tcW w:type="dxa" w:w="3408"/>
          </w:tcPr>
          <w:p>
            <w:r>
              <w:t>C-03; C-04; H-01 through H-06; FC-09</w:t>
            </w:r>
          </w:p>
        </w:tc>
      </w:tr>
      <w:tr>
        <w:trPr>
          <w:cantSplit/>
        </w:trPr>
        <w:tc>
          <w:tcPr>
            <w:tcW w:type="dxa" w:w="3408"/>
          </w:tcPr>
          <w:p>
            <w:r>
              <w:t>P-41</w:t>
            </w:r>
          </w:p>
        </w:tc>
        <w:tc>
          <w:tcPr>
            <w:tcW w:type="dxa" w:w="3408"/>
          </w:tcPr>
          <w:p>
            <w:r>
              <w:t>IJ Levels</w:t>
            </w:r>
          </w:p>
        </w:tc>
        <w:tc>
          <w:tcPr>
            <w:tcW w:type="dxa" w:w="3408"/>
          </w:tcPr>
          <w:p>
            <w:r>
              <w:t>H-04; FC-10</w:t>
            </w:r>
          </w:p>
        </w:tc>
      </w:tr>
      <w:tr>
        <w:trPr>
          <w:cantSplit/>
        </w:trPr>
        <w:tc>
          <w:tcPr>
            <w:tcW w:type="dxa" w:w="3408"/>
          </w:tcPr>
          <w:p>
            <w:r>
              <w:t>P-42</w:t>
            </w:r>
          </w:p>
        </w:tc>
        <w:tc>
          <w:tcPr>
            <w:tcW w:type="dxa" w:w="3408"/>
          </w:tcPr>
          <w:p>
            <w:r>
              <w:t>Anti-Abstraction</w:t>
            </w:r>
          </w:p>
        </w:tc>
        <w:tc>
          <w:tcPr>
            <w:tcW w:type="dxa" w:w="3408"/>
          </w:tcPr>
          <w:p>
            <w:r>
              <w:t>A-07 through A-11; C module; H-06; FC-11</w:t>
            </w:r>
          </w:p>
        </w:tc>
      </w:tr>
      <w:tr>
        <w:trPr>
          <w:cantSplit/>
        </w:trPr>
        <w:tc>
          <w:tcPr>
            <w:tcW w:type="dxa" w:w="3408"/>
          </w:tcPr>
          <w:p>
            <w:r>
              <w:t>P-43</w:t>
            </w:r>
          </w:p>
        </w:tc>
        <w:tc>
          <w:tcPr>
            <w:tcW w:type="dxa" w:w="3408"/>
          </w:tcPr>
          <w:p>
            <w:r>
              <w:t>Conformance Non-Usurpation</w:t>
            </w:r>
          </w:p>
        </w:tc>
        <w:tc>
          <w:tcPr>
            <w:tcW w:type="dxa" w:w="3408"/>
          </w:tcPr>
          <w:p>
            <w:r>
              <w:t>B-06; F-09; G-01; G-06; FC-16</w:t>
            </w:r>
          </w:p>
        </w:tc>
      </w:tr>
      <w:tr>
        <w:trPr>
          <w:cantSplit/>
        </w:trPr>
        <w:tc>
          <w:tcPr>
            <w:tcW w:type="dxa" w:w="3408"/>
          </w:tcPr>
          <w:p>
            <w:r>
              <w:t>P-44</w:t>
            </w:r>
          </w:p>
        </w:tc>
        <w:tc>
          <w:tcPr>
            <w:tcW w:type="dxa" w:w="3408"/>
          </w:tcPr>
          <w:p>
            <w:r>
              <w:t>Express Democratic Departure</w:t>
            </w:r>
          </w:p>
        </w:tc>
        <w:tc>
          <w:tcPr>
            <w:tcW w:type="dxa" w:w="3408"/>
          </w:tcPr>
          <w:p>
            <w:r>
              <w:t>G-05; FC-16; current Model Acts</w:t>
            </w:r>
          </w:p>
        </w:tc>
      </w:tr>
      <w:tr>
        <w:trPr>
          <w:cantSplit/>
        </w:trPr>
        <w:tc>
          <w:tcPr>
            <w:tcW w:type="dxa" w:w="3408"/>
          </w:tcPr>
          <w:p>
            <w:r>
              <w:t>P-45</w:t>
            </w:r>
          </w:p>
        </w:tc>
        <w:tc>
          <w:tcPr>
            <w:tcW w:type="dxa" w:w="3408"/>
          </w:tcPr>
          <w:p>
            <w:r>
              <w:t>NSIC</w:t>
            </w:r>
          </w:p>
        </w:tc>
        <w:tc>
          <w:tcPr>
            <w:tcW w:type="dxa" w:w="3408"/>
          </w:tcPr>
          <w:p>
            <w:r>
              <w:t>D-01; D-02; D-08; FC-12; FC-13</w:t>
            </w:r>
          </w:p>
        </w:tc>
      </w:tr>
      <w:tr>
        <w:trPr>
          <w:cantSplit/>
        </w:trPr>
        <w:tc>
          <w:tcPr>
            <w:tcW w:type="dxa" w:w="3408"/>
          </w:tcPr>
          <w:p>
            <w:r>
              <w:t>P-46</w:t>
            </w:r>
          </w:p>
        </w:tc>
        <w:tc>
          <w:tcPr>
            <w:tcW w:type="dxa" w:w="3408"/>
          </w:tcPr>
          <w:p>
            <w:r>
              <w:t>Structural Least Power</w:t>
            </w:r>
          </w:p>
        </w:tc>
        <w:tc>
          <w:tcPr>
            <w:tcW w:type="dxa" w:w="3408"/>
          </w:tcPr>
          <w:p>
            <w:r>
              <w:t>D-01; D-02; D-08; FC-13</w:t>
            </w:r>
          </w:p>
        </w:tc>
      </w:tr>
      <w:tr>
        <w:trPr>
          <w:cantSplit/>
        </w:trPr>
        <w:tc>
          <w:tcPr>
            <w:tcW w:type="dxa" w:w="3408"/>
          </w:tcPr>
          <w:p>
            <w:r>
              <w:t>P-47</w:t>
            </w:r>
          </w:p>
        </w:tc>
        <w:tc>
          <w:tcPr>
            <w:tcW w:type="dxa" w:w="3408"/>
          </w:tcPr>
          <w:p>
            <w:r>
              <w:t>Unnecessary Standing Capability</w:t>
            </w:r>
          </w:p>
        </w:tc>
        <w:tc>
          <w:tcPr>
            <w:tcW w:type="dxa" w:w="3408"/>
          </w:tcPr>
          <w:p>
            <w:r>
              <w:t>D-01; D-08; FC-12; FC-13</w:t>
            </w:r>
          </w:p>
        </w:tc>
      </w:tr>
      <w:tr>
        <w:trPr>
          <w:cantSplit/>
        </w:trPr>
        <w:tc>
          <w:tcPr>
            <w:tcW w:type="dxa" w:w="3408"/>
          </w:tcPr>
          <w:p>
            <w:r>
              <w:t>P-48</w:t>
            </w:r>
          </w:p>
        </w:tc>
        <w:tc>
          <w:tcPr>
            <w:tcW w:type="dxa" w:w="3408"/>
          </w:tcPr>
          <w:p>
            <w:r>
              <w:t>No Phone Home</w:t>
            </w:r>
          </w:p>
        </w:tc>
        <w:tc>
          <w:tcPr>
            <w:tcW w:type="dxa" w:w="3408"/>
          </w:tcPr>
          <w:p>
            <w:r>
              <w:t>D-05; D-06; FC-14</w:t>
            </w:r>
          </w:p>
        </w:tc>
      </w:tr>
      <w:tr>
        <w:trPr>
          <w:cantSplit/>
        </w:trPr>
        <w:tc>
          <w:tcPr>
            <w:tcW w:type="dxa" w:w="3408"/>
          </w:tcPr>
          <w:p>
            <w:r>
              <w:t>P-49</w:t>
            </w:r>
          </w:p>
        </w:tc>
        <w:tc>
          <w:tcPr>
            <w:tcW w:type="dxa" w:w="3408"/>
          </w:tcPr>
          <w:p>
            <w:r>
              <w:t>Authority as ceiling</w:t>
            </w:r>
          </w:p>
        </w:tc>
        <w:tc>
          <w:tcPr>
            <w:tcW w:type="dxa" w:w="3408"/>
          </w:tcPr>
          <w:p>
            <w:r>
              <w:t>G module; D-08; FC-12; FC-13</w:t>
            </w:r>
          </w:p>
        </w:tc>
      </w:tr>
      <w:tr>
        <w:trPr>
          <w:cantSplit/>
        </w:trPr>
        <w:tc>
          <w:tcPr>
            <w:tcW w:type="dxa" w:w="3408"/>
          </w:tcPr>
          <w:p>
            <w:r>
              <w:t>P-50</w:t>
            </w:r>
          </w:p>
        </w:tc>
        <w:tc>
          <w:tcPr>
            <w:tcW w:type="dxa" w:w="3408"/>
          </w:tcPr>
          <w:p>
            <w:r>
              <w:t>Capability expansion/contraction</w:t>
            </w:r>
          </w:p>
        </w:tc>
        <w:tc>
          <w:tcPr>
            <w:tcW w:type="dxa" w:w="3408"/>
          </w:tcPr>
          <w:p>
            <w:r>
              <w:t>A-06; FC-12; FC-15</w:t>
            </w:r>
          </w:p>
        </w:tc>
      </w:tr>
      <w:tr>
        <w:trPr>
          <w:cantSplit/>
        </w:trPr>
        <w:tc>
          <w:tcPr>
            <w:tcW w:type="dxa" w:w="3408"/>
          </w:tcPr>
          <w:p>
            <w:r>
              <w:t>P-51</w:t>
            </w:r>
          </w:p>
        </w:tc>
        <w:tc>
          <w:tcPr>
            <w:tcW w:type="dxa" w:w="3408"/>
          </w:tcPr>
          <w:p>
            <w:r>
              <w:t>OIA / FC / FCGIAS hierarchy</w:t>
            </w:r>
          </w:p>
        </w:tc>
        <w:tc>
          <w:tcPr>
            <w:tcW w:type="dxa" w:w="3408"/>
          </w:tcPr>
          <w:p>
            <w:r>
              <w:t>FC-03 through FC-05; FC-16</w:t>
            </w:r>
          </w:p>
        </w:tc>
      </w:tr>
    </w:tbl>
    <w:p>
      <w:pPr>
        <w:pStyle w:val="Heading1"/>
      </w:pPr>
      <w:r>
        <w:t>X. Controlled Determination</w:t>
      </w:r>
    </w:p>
    <w:p>
      <w:r>
        <w:t>FC-SFD 0.3 is CONTROLLED FOR PUBLICATION 2.1 FINALIZATION. The Version 2.2 research gaps identified by WP-PAM 0.3 are closed to the level required for a responsible publication-final manuscript pass. The remaining items are citation mechanics, current-source pinpoints, and the three controlled manuscript refinements already identified by WP-PAM 0.3. No unresolved source issue identified here requires reopening the Version 2.2 Fiduciary Commons theory.</w:t>
      </w:r>
    </w:p>
    <w:p>
      <w:pPr>
        <w:pStyle w:val="Heading1"/>
      </w:pPr>
      <w:r>
        <w:t>XI. Next Controlled Step</w:t>
      </w:r>
    </w:p>
    <w:p>
      <w:r>
        <w:t>Apply the three WP-PAM 0.3 manuscript refinements and current-artifact reference updates to the Publication 2.1 Word-native working master. Then conduct the final substantive-fidelity, Bluebook, defined-term, footnote, and reader-package reference audit before any Publication 2.1 Final Candidate designation.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