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FIDUCIARY COMMONS GOVERNMENT INFORMATION ARCHITECTURE STANDARD</w:t>
      </w:r>
    </w:p>
    <w:p>
      <w:pPr>
        <w:jc w:val="center"/>
      </w:pPr>
      <w:r>
        <w:rPr>
          <w:b/>
          <w:sz w:val="28"/>
        </w:rPr>
        <w:t>Version 2.2 Master Normative Traceability Matrix, T-01 through T-70</w:t>
      </w:r>
    </w:p>
    <w:p>
      <w:pPr>
        <w:jc w:val="center"/>
      </w:pPr>
      <w:r>
        <w:rPr>
          <w:i/>
          <w:sz w:val="18"/>
        </w:rPr>
        <w:t>Consolidated controlling reader edition | 12 September 2026</w:t>
      </w:r>
    </w:p>
    <w:p>
      <w:pPr>
        <w:pStyle w:val="Heading1"/>
      </w:pPr>
      <w:r>
        <w:t>CONTROLLED STATUS</w:t>
      </w:r>
    </w:p>
    <w:p>
      <w:r>
        <w:t>This edition consolidates the previously issued 69-row Version 2.2 Master Normative Traceability Matrix with the adopted IR-01 T-70 controlled extension. T-01 through T-69 are reproduced without substantive change. T-70 is additive and is derived from the IR-01 Adoption and Freeze Update and its controlled NTM extension.</w:t>
      </w:r>
    </w:p>
    <w:p>
      <w:r>
        <w:t>The matrix is a traceability and conformance instrument. It does not independently create governmental authority, a private cause of action, or substantive law.</w:t>
      </w:r>
    </w:p>
    <w:tbl>
      <w:tblPr>
        <w:tblStyle w:val="TableGrid"/>
        <w:tblW w:type="auto" w:w="0"/>
        <w:jc w:val="center"/>
        <w:tblLook w:firstColumn="1" w:firstRow="1" w:lastColumn="0" w:lastRow="0" w:noHBand="0" w:noVBand="1" w:val="04A0"/>
      </w:tblPr>
      <w:tblGrid>
        <w:gridCol w:w="2078"/>
        <w:gridCol w:w="2078"/>
        <w:gridCol w:w="2078"/>
        <w:gridCol w:w="2078"/>
        <w:gridCol w:w="2078"/>
        <w:gridCol w:w="2078"/>
        <w:gridCol w:w="2078"/>
      </w:tblGrid>
      <w:tr>
        <w:tc>
          <w:tcPr>
            <w:tcW w:type="dxa" w:w="2078"/>
            <w:vAlign w:val="top"/>
          </w:tcPr>
          <w:p>
            <w:r>
              <w:rPr>
                <w:rFonts w:ascii="Times New Roman" w:hAnsi="Times New Roman"/>
                <w:sz w:val="13"/>
              </w:rPr>
              <w:t>ID</w:t>
            </w:r>
          </w:p>
        </w:tc>
        <w:tc>
          <w:tcPr>
            <w:tcW w:type="dxa" w:w="2078"/>
            <w:vAlign w:val="top"/>
          </w:tcPr>
          <w:p>
            <w:r>
              <w:rPr>
                <w:rFonts w:ascii="Times New Roman" w:hAnsi="Times New Roman"/>
                <w:sz w:val="13"/>
              </w:rPr>
              <w:t>Foundation / Principle</w:t>
            </w:r>
          </w:p>
        </w:tc>
        <w:tc>
          <w:tcPr>
            <w:tcW w:type="dxa" w:w="2078"/>
            <w:vAlign w:val="top"/>
          </w:tcPr>
          <w:p>
            <w:r>
              <w:rPr>
                <w:rFonts w:ascii="Times New Roman" w:hAnsi="Times New Roman"/>
                <w:sz w:val="13"/>
              </w:rPr>
              <w:t>OIA Rule</w:t>
            </w:r>
          </w:p>
        </w:tc>
        <w:tc>
          <w:tcPr>
            <w:tcW w:type="dxa" w:w="2078"/>
            <w:vAlign w:val="top"/>
          </w:tcPr>
          <w:p>
            <w:r>
              <w:rPr>
                <w:rFonts w:ascii="Times New Roman" w:hAnsi="Times New Roman"/>
                <w:sz w:val="13"/>
              </w:rPr>
              <w:t>Architectural Invariant</w:t>
            </w:r>
          </w:p>
        </w:tc>
        <w:tc>
          <w:tcPr>
            <w:tcW w:type="dxa" w:w="2078"/>
            <w:vAlign w:val="top"/>
          </w:tcPr>
          <w:p>
            <w:r>
              <w:rPr>
                <w:rFonts w:ascii="Times New Roman" w:hAnsi="Times New Roman"/>
                <w:sz w:val="13"/>
              </w:rPr>
              <w:t>Principal Statutory Implementation</w:t>
            </w:r>
          </w:p>
        </w:tc>
        <w:tc>
          <w:tcPr>
            <w:tcW w:type="dxa" w:w="2078"/>
            <w:vAlign w:val="top"/>
          </w:tcPr>
          <w:p>
            <w:r>
              <w:rPr>
                <w:rFonts w:ascii="Times New Roman" w:hAnsi="Times New Roman"/>
                <w:sz w:val="13"/>
              </w:rPr>
              <w:t>FCGIAS / Conformance</w:t>
            </w:r>
          </w:p>
        </w:tc>
        <w:tc>
          <w:tcPr>
            <w:tcW w:type="dxa" w:w="2078"/>
            <w:vAlign w:val="top"/>
          </w:tcPr>
          <w:p>
            <w:r>
              <w:rPr>
                <w:rFonts w:ascii="Times New Roman" w:hAnsi="Times New Roman"/>
                <w:sz w:val="13"/>
              </w:rPr>
              <w:t>Enforcement / Remedy</w:t>
            </w:r>
          </w:p>
        </w:tc>
      </w:tr>
      <w:tr>
        <w:tc>
          <w:tcPr>
            <w:tcW w:type="dxa" w:w="2078"/>
            <w:vAlign w:val="top"/>
          </w:tcPr>
          <w:p>
            <w:r>
              <w:rPr>
                <w:rFonts w:ascii="Times New Roman" w:hAnsi="Times New Roman"/>
                <w:sz w:val="13"/>
              </w:rPr>
              <w:t>T-01</w:t>
            </w:r>
          </w:p>
        </w:tc>
        <w:tc>
          <w:tcPr>
            <w:tcW w:type="dxa" w:w="2078"/>
            <w:vAlign w:val="top"/>
          </w:tcPr>
          <w:p>
            <w:r>
              <w:rPr>
                <w:rFonts w:ascii="Times New Roman" w:hAnsi="Times New Roman"/>
                <w:sz w:val="13"/>
              </w:rPr>
              <w:t>Limited governmental authority</w:t>
            </w:r>
          </w:p>
        </w:tc>
        <w:tc>
          <w:tcPr>
            <w:tcW w:type="dxa" w:w="2078"/>
            <w:vAlign w:val="top"/>
          </w:tcPr>
          <w:p>
            <w:r>
              <w:rPr>
                <w:rFonts w:ascii="Times New Roman" w:hAnsi="Times New Roman"/>
                <w:sz w:val="13"/>
              </w:rPr>
              <w:t>OIA: authority bounded by lawful function</w:t>
            </w:r>
          </w:p>
        </w:tc>
        <w:tc>
          <w:tcPr>
            <w:tcW w:type="dxa" w:w="2078"/>
            <w:vAlign w:val="top"/>
          </w:tcPr>
          <w:p>
            <w:r>
              <w:rPr>
                <w:rFonts w:ascii="Times New Roman" w:hAnsi="Times New Roman"/>
                <w:sz w:val="13"/>
              </w:rPr>
              <w:t>No capability beyond lawful function</w:t>
            </w:r>
          </w:p>
        </w:tc>
        <w:tc>
          <w:tcPr>
            <w:tcW w:type="dxa" w:w="2078"/>
            <w:vAlign w:val="top"/>
          </w:tcPr>
          <w:p>
            <w:r>
              <w:rPr>
                <w:rFonts w:ascii="Times New Roman" w:hAnsi="Times New Roman"/>
                <w:sz w:val="13"/>
              </w:rPr>
              <w:t>PDTA §§5,8</w:t>
            </w:r>
          </w:p>
        </w:tc>
        <w:tc>
          <w:tcPr>
            <w:tcW w:type="dxa" w:w="2078"/>
            <w:vAlign w:val="top"/>
          </w:tcPr>
          <w:p>
            <w:r>
              <w:rPr>
                <w:rFonts w:ascii="Times New Roman" w:hAnsi="Times New Roman"/>
                <w:sz w:val="13"/>
              </w:rPr>
              <w:t>CF-05</w:t>
            </w:r>
          </w:p>
        </w:tc>
        <w:tc>
          <w:tcPr>
            <w:tcW w:type="dxa" w:w="2078"/>
            <w:vAlign w:val="top"/>
          </w:tcPr>
          <w:p>
            <w:r>
              <w:rPr>
                <w:rFonts w:ascii="Times New Roman" w:hAnsi="Times New Roman"/>
                <w:sz w:val="13"/>
              </w:rPr>
              <w:t>PDTA §§20-23</w:t>
            </w:r>
          </w:p>
        </w:tc>
      </w:tr>
      <w:tr>
        <w:tc>
          <w:tcPr>
            <w:tcW w:type="dxa" w:w="2078"/>
            <w:vAlign w:val="top"/>
          </w:tcPr>
          <w:p>
            <w:r>
              <w:rPr>
                <w:rFonts w:ascii="Times New Roman" w:hAnsi="Times New Roman"/>
                <w:sz w:val="13"/>
              </w:rPr>
              <w:t>T-02</w:t>
            </w:r>
          </w:p>
        </w:tc>
        <w:tc>
          <w:tcPr>
            <w:tcW w:type="dxa" w:w="2078"/>
            <w:vAlign w:val="top"/>
          </w:tcPr>
          <w:p>
            <w:r>
              <w:rPr>
                <w:rFonts w:ascii="Times New Roman" w:hAnsi="Times New Roman"/>
                <w:sz w:val="13"/>
              </w:rPr>
              <w:t>Possession does not create authority</w:t>
            </w:r>
          </w:p>
        </w:tc>
        <w:tc>
          <w:tcPr>
            <w:tcW w:type="dxa" w:w="2078"/>
            <w:vAlign w:val="top"/>
          </w:tcPr>
          <w:p>
            <w:r>
              <w:rPr>
                <w:rFonts w:ascii="Times New Roman" w:hAnsi="Times New Roman"/>
                <w:sz w:val="13"/>
              </w:rPr>
              <w:t>Possession/capability distinction</w:t>
            </w:r>
          </w:p>
        </w:tc>
        <w:tc>
          <w:tcPr>
            <w:tcW w:type="dxa" w:w="2078"/>
            <w:vAlign w:val="top"/>
          </w:tcPr>
          <w:p>
            <w:r>
              <w:rPr>
                <w:rFonts w:ascii="Times New Roman" w:hAnsi="Times New Roman"/>
                <w:sz w:val="13"/>
              </w:rPr>
              <w:t>Possession cannot bootstrap use</w:t>
            </w:r>
          </w:p>
        </w:tc>
        <w:tc>
          <w:tcPr>
            <w:tcW w:type="dxa" w:w="2078"/>
            <w:vAlign w:val="top"/>
          </w:tcPr>
          <w:p>
            <w:r>
              <w:rPr>
                <w:rFonts w:ascii="Times New Roman" w:hAnsi="Times New Roman"/>
                <w:sz w:val="13"/>
              </w:rPr>
              <w:t>PDTA §§5,8,18</w:t>
            </w:r>
          </w:p>
        </w:tc>
        <w:tc>
          <w:tcPr>
            <w:tcW w:type="dxa" w:w="2078"/>
            <w:vAlign w:val="top"/>
          </w:tcPr>
          <w:p>
            <w:r>
              <w:rPr>
                <w:rFonts w:ascii="Times New Roman" w:hAnsi="Times New Roman"/>
                <w:sz w:val="13"/>
              </w:rPr>
              <w:t>CF-05, CF-09</w:t>
            </w:r>
          </w:p>
        </w:tc>
        <w:tc>
          <w:tcPr>
            <w:tcW w:type="dxa" w:w="2078"/>
            <w:vAlign w:val="top"/>
          </w:tcPr>
          <w:p>
            <w:r>
              <w:rPr>
                <w:rFonts w:ascii="Times New Roman" w:hAnsi="Times New Roman"/>
                <w:sz w:val="13"/>
              </w:rPr>
              <w:t>PDTA §§20-23</w:t>
            </w:r>
          </w:p>
        </w:tc>
      </w:tr>
      <w:tr>
        <w:tc>
          <w:tcPr>
            <w:tcW w:type="dxa" w:w="2078"/>
            <w:vAlign w:val="top"/>
          </w:tcPr>
          <w:p>
            <w:r>
              <w:rPr>
                <w:rFonts w:ascii="Times New Roman" w:hAnsi="Times New Roman"/>
                <w:sz w:val="13"/>
              </w:rPr>
              <w:t>T-03</w:t>
            </w:r>
          </w:p>
        </w:tc>
        <w:tc>
          <w:tcPr>
            <w:tcW w:type="dxa" w:w="2078"/>
            <w:vAlign w:val="top"/>
          </w:tcPr>
          <w:p>
            <w:r>
              <w:rPr>
                <w:rFonts w:ascii="Times New Roman" w:hAnsi="Times New Roman"/>
                <w:sz w:val="13"/>
              </w:rPr>
              <w:t>Technical capability does not create authority</w:t>
            </w:r>
          </w:p>
        </w:tc>
        <w:tc>
          <w:tcPr>
            <w:tcW w:type="dxa" w:w="2078"/>
            <w:vAlign w:val="top"/>
          </w:tcPr>
          <w:p>
            <w:r>
              <w:rPr>
                <w:rFonts w:ascii="Times New Roman" w:hAnsi="Times New Roman"/>
                <w:sz w:val="13"/>
              </w:rPr>
              <w:t>ACCP</w:t>
            </w:r>
          </w:p>
        </w:tc>
        <w:tc>
          <w:tcPr>
            <w:tcW w:type="dxa" w:w="2078"/>
            <w:vAlign w:val="top"/>
          </w:tcPr>
          <w:p>
            <w:r>
              <w:rPr>
                <w:rFonts w:ascii="Times New Roman" w:hAnsi="Times New Roman"/>
                <w:sz w:val="13"/>
              </w:rPr>
              <w:t>Standing capability tracks authority</w:t>
            </w:r>
          </w:p>
        </w:tc>
        <w:tc>
          <w:tcPr>
            <w:tcW w:type="dxa" w:w="2078"/>
            <w:vAlign w:val="top"/>
          </w:tcPr>
          <w:p>
            <w:r>
              <w:rPr>
                <w:rFonts w:ascii="Times New Roman" w:hAnsi="Times New Roman"/>
                <w:sz w:val="13"/>
              </w:rPr>
              <w:t>PDTA §19(b); VIDA §§6,28; GAAFA §§4,35</w:t>
            </w:r>
          </w:p>
        </w:tc>
        <w:tc>
          <w:tcPr>
            <w:tcW w:type="dxa" w:w="2078"/>
            <w:vAlign w:val="top"/>
          </w:tcPr>
          <w:p>
            <w:r>
              <w:rPr>
                <w:rFonts w:ascii="Times New Roman" w:hAnsi="Times New Roman"/>
                <w:sz w:val="13"/>
              </w:rPr>
              <w:t>CF-06, CF-07</w:t>
            </w:r>
          </w:p>
        </w:tc>
        <w:tc>
          <w:tcPr>
            <w:tcW w:type="dxa" w:w="2078"/>
            <w:vAlign w:val="top"/>
          </w:tcPr>
          <w:p>
            <w:r>
              <w:rPr>
                <w:rFonts w:ascii="Times New Roman" w:hAnsi="Times New Roman"/>
                <w:sz w:val="13"/>
              </w:rPr>
              <w:t>DTA conformance; structural relief</w:t>
            </w:r>
          </w:p>
        </w:tc>
      </w:tr>
      <w:tr>
        <w:tc>
          <w:tcPr>
            <w:tcW w:type="dxa" w:w="2078"/>
            <w:vAlign w:val="top"/>
          </w:tcPr>
          <w:p>
            <w:r>
              <w:rPr>
                <w:rFonts w:ascii="Times New Roman" w:hAnsi="Times New Roman"/>
                <w:sz w:val="13"/>
              </w:rPr>
              <w:t>T-04</w:t>
            </w:r>
          </w:p>
        </w:tc>
        <w:tc>
          <w:tcPr>
            <w:tcW w:type="dxa" w:w="2078"/>
            <w:vAlign w:val="top"/>
          </w:tcPr>
          <w:p>
            <w:r>
              <w:rPr>
                <w:rFonts w:ascii="Times New Roman" w:hAnsi="Times New Roman"/>
                <w:sz w:val="13"/>
              </w:rPr>
              <w:t>Material expansion requires renewed authority</w:t>
            </w:r>
          </w:p>
        </w:tc>
        <w:tc>
          <w:tcPr>
            <w:tcW w:type="dxa" w:w="2078"/>
            <w:vAlign w:val="top"/>
          </w:tcPr>
          <w:p>
            <w:r>
              <w:rPr>
                <w:rFonts w:ascii="Times New Roman" w:hAnsi="Times New Roman"/>
                <w:sz w:val="13"/>
              </w:rPr>
              <w:t>Materially Renewed Authorization</w:t>
            </w:r>
          </w:p>
        </w:tc>
        <w:tc>
          <w:tcPr>
            <w:tcW w:type="dxa" w:w="2078"/>
            <w:vAlign w:val="top"/>
          </w:tcPr>
          <w:p>
            <w:r>
              <w:rPr>
                <w:rFonts w:ascii="Times New Roman" w:hAnsi="Times New Roman"/>
                <w:sz w:val="13"/>
              </w:rPr>
              <w:t>Capability expansion follows authority expansion</w:t>
            </w:r>
          </w:p>
        </w:tc>
        <w:tc>
          <w:tcPr>
            <w:tcW w:type="dxa" w:w="2078"/>
            <w:vAlign w:val="top"/>
          </w:tcPr>
          <w:p>
            <w:r>
              <w:rPr>
                <w:rFonts w:ascii="Times New Roman" w:hAnsi="Times New Roman"/>
                <w:sz w:val="13"/>
              </w:rPr>
              <w:t>PDTA §§8-10</w:t>
            </w:r>
          </w:p>
        </w:tc>
        <w:tc>
          <w:tcPr>
            <w:tcW w:type="dxa" w:w="2078"/>
            <w:vAlign w:val="top"/>
          </w:tcPr>
          <w:p>
            <w:r>
              <w:rPr>
                <w:rFonts w:ascii="Times New Roman" w:hAnsi="Times New Roman"/>
                <w:sz w:val="13"/>
              </w:rPr>
              <w:t>CF-12, CF-13</w:t>
            </w:r>
          </w:p>
        </w:tc>
        <w:tc>
          <w:tcPr>
            <w:tcW w:type="dxa" w:w="2078"/>
            <w:vAlign w:val="top"/>
          </w:tcPr>
          <w:p>
            <w:r>
              <w:rPr>
                <w:rFonts w:ascii="Times New Roman" w:hAnsi="Times New Roman"/>
                <w:sz w:val="13"/>
              </w:rPr>
              <w:t>Burden on government; structural relief</w:t>
            </w:r>
          </w:p>
        </w:tc>
      </w:tr>
      <w:tr>
        <w:tc>
          <w:tcPr>
            <w:tcW w:type="dxa" w:w="2078"/>
            <w:vAlign w:val="top"/>
          </w:tcPr>
          <w:p>
            <w:r>
              <w:rPr>
                <w:rFonts w:ascii="Times New Roman" w:hAnsi="Times New Roman"/>
                <w:sz w:val="13"/>
              </w:rPr>
              <w:t>T-05</w:t>
            </w:r>
          </w:p>
        </w:tc>
        <w:tc>
          <w:tcPr>
            <w:tcW w:type="dxa" w:w="2078"/>
            <w:vAlign w:val="top"/>
          </w:tcPr>
          <w:p>
            <w:r>
              <w:rPr>
                <w:rFonts w:ascii="Times New Roman" w:hAnsi="Times New Roman"/>
                <w:sz w:val="13"/>
              </w:rPr>
              <w:t>No generalized governmental informational power</w:t>
            </w:r>
          </w:p>
        </w:tc>
        <w:tc>
          <w:tcPr>
            <w:tcW w:type="dxa" w:w="2078"/>
            <w:vAlign w:val="top"/>
          </w:tcPr>
          <w:p>
            <w:r>
              <w:rPr>
                <w:rFonts w:ascii="Times New Roman" w:hAnsi="Times New Roman"/>
                <w:sz w:val="13"/>
              </w:rPr>
              <w:t>Ordered Informational Authority</w:t>
            </w:r>
          </w:p>
        </w:tc>
        <w:tc>
          <w:tcPr>
            <w:tcW w:type="dxa" w:w="2078"/>
            <w:vAlign w:val="top"/>
          </w:tcPr>
          <w:p>
            <w:r>
              <w:rPr>
                <w:rFonts w:ascii="Times New Roman" w:hAnsi="Times New Roman"/>
                <w:sz w:val="13"/>
              </w:rPr>
              <w:t>No standing generalized power to know</w:t>
            </w:r>
          </w:p>
        </w:tc>
        <w:tc>
          <w:tcPr>
            <w:tcW w:type="dxa" w:w="2078"/>
            <w:vAlign w:val="top"/>
          </w:tcPr>
          <w:p>
            <w:r>
              <w:rPr>
                <w:rFonts w:ascii="Times New Roman" w:hAnsi="Times New Roman"/>
                <w:sz w:val="13"/>
              </w:rPr>
              <w:t>PDTA §§14,19; VIDA §§10-12; GAAFA §§5,9</w:t>
            </w:r>
          </w:p>
        </w:tc>
        <w:tc>
          <w:tcPr>
            <w:tcW w:type="dxa" w:w="2078"/>
            <w:vAlign w:val="top"/>
          </w:tcPr>
          <w:p>
            <w:r>
              <w:rPr>
                <w:rFonts w:ascii="Times New Roman" w:hAnsi="Times New Roman"/>
                <w:sz w:val="13"/>
              </w:rPr>
              <w:t>CF-09-CF-11</w:t>
            </w:r>
          </w:p>
        </w:tc>
        <w:tc>
          <w:tcPr>
            <w:tcW w:type="dxa" w:w="2078"/>
            <w:vAlign w:val="top"/>
          </w:tcPr>
          <w:p>
            <w:r>
              <w:rPr>
                <w:rFonts w:ascii="Times New Roman" w:hAnsi="Times New Roman"/>
                <w:sz w:val="13"/>
              </w:rPr>
              <w:t>Per se/structural remedies</w:t>
            </w:r>
          </w:p>
        </w:tc>
      </w:tr>
      <w:tr>
        <w:tc>
          <w:tcPr>
            <w:tcW w:type="dxa" w:w="2078"/>
            <w:vAlign w:val="top"/>
          </w:tcPr>
          <w:p>
            <w:r>
              <w:rPr>
                <w:rFonts w:ascii="Times New Roman" w:hAnsi="Times New Roman"/>
                <w:sz w:val="13"/>
              </w:rPr>
              <w:t>T-06</w:t>
            </w:r>
          </w:p>
        </w:tc>
        <w:tc>
          <w:tcPr>
            <w:tcW w:type="dxa" w:w="2078"/>
            <w:vAlign w:val="top"/>
          </w:tcPr>
          <w:p>
            <w:r>
              <w:rPr>
                <w:rFonts w:ascii="Times New Roman" w:hAnsi="Times New Roman"/>
                <w:sz w:val="13"/>
              </w:rPr>
              <w:t>Structural enforcement</w:t>
            </w:r>
          </w:p>
        </w:tc>
        <w:tc>
          <w:tcPr>
            <w:tcW w:type="dxa" w:w="2078"/>
            <w:vAlign w:val="top"/>
          </w:tcPr>
          <w:p>
            <w:r>
              <w:rPr>
                <w:rFonts w:ascii="Times New Roman" w:hAnsi="Times New Roman"/>
                <w:sz w:val="13"/>
              </w:rPr>
              <w:t>Architecture embodies material limits</w:t>
            </w:r>
          </w:p>
        </w:tc>
        <w:tc>
          <w:tcPr>
            <w:tcW w:type="dxa" w:w="2078"/>
            <w:vAlign w:val="top"/>
          </w:tcPr>
          <w:p>
            <w:r>
              <w:rPr>
                <w:rFonts w:ascii="Times New Roman" w:hAnsi="Times New Roman"/>
                <w:sz w:val="13"/>
              </w:rPr>
              <w:t>Policy-only restraint insufficient</w:t>
            </w:r>
          </w:p>
        </w:tc>
        <w:tc>
          <w:tcPr>
            <w:tcW w:type="dxa" w:w="2078"/>
            <w:vAlign w:val="top"/>
          </w:tcPr>
          <w:p>
            <w:r>
              <w:rPr>
                <w:rFonts w:ascii="Times New Roman" w:hAnsi="Times New Roman"/>
                <w:sz w:val="13"/>
              </w:rPr>
              <w:t>PDTA §19(a)</w:t>
            </w:r>
          </w:p>
        </w:tc>
        <w:tc>
          <w:tcPr>
            <w:tcW w:type="dxa" w:w="2078"/>
            <w:vAlign w:val="top"/>
          </w:tcPr>
          <w:p>
            <w:r>
              <w:rPr>
                <w:rFonts w:ascii="Times New Roman" w:hAnsi="Times New Roman"/>
                <w:sz w:val="13"/>
              </w:rPr>
              <w:t>CF-38-CF-40</w:t>
            </w:r>
          </w:p>
        </w:tc>
        <w:tc>
          <w:tcPr>
            <w:tcW w:type="dxa" w:w="2078"/>
            <w:vAlign w:val="top"/>
          </w:tcPr>
          <w:p>
            <w:r>
              <w:rPr>
                <w:rFonts w:ascii="Times New Roman" w:hAnsi="Times New Roman"/>
                <w:sz w:val="13"/>
              </w:rPr>
              <w:t>DTA/court structural relief</w:t>
            </w:r>
          </w:p>
        </w:tc>
      </w:tr>
      <w:tr>
        <w:tc>
          <w:tcPr>
            <w:tcW w:type="dxa" w:w="2078"/>
            <w:vAlign w:val="top"/>
          </w:tcPr>
          <w:p>
            <w:r>
              <w:rPr>
                <w:rFonts w:ascii="Times New Roman" w:hAnsi="Times New Roman"/>
                <w:sz w:val="13"/>
              </w:rPr>
              <w:t>T-07</w:t>
            </w:r>
          </w:p>
        </w:tc>
        <w:tc>
          <w:tcPr>
            <w:tcW w:type="dxa" w:w="2078"/>
            <w:vAlign w:val="top"/>
          </w:tcPr>
          <w:p>
            <w:r>
              <w:rPr>
                <w:rFonts w:ascii="Times New Roman" w:hAnsi="Times New Roman"/>
                <w:sz w:val="13"/>
              </w:rPr>
              <w:t>Originating Informational Purpose</w:t>
            </w:r>
          </w:p>
        </w:tc>
        <w:tc>
          <w:tcPr>
            <w:tcW w:type="dxa" w:w="2078"/>
            <w:vAlign w:val="top"/>
          </w:tcPr>
          <w:p>
            <w:r>
              <w:rPr>
                <w:rFonts w:ascii="Times New Roman" w:hAnsi="Times New Roman"/>
                <w:sz w:val="13"/>
              </w:rPr>
              <w:t>OIP</w:t>
            </w:r>
          </w:p>
        </w:tc>
        <w:tc>
          <w:tcPr>
            <w:tcW w:type="dxa" w:w="2078"/>
            <w:vAlign w:val="top"/>
          </w:tcPr>
          <w:p>
            <w:r>
              <w:rPr>
                <w:rFonts w:ascii="Times New Roman" w:hAnsi="Times New Roman"/>
                <w:sz w:val="13"/>
              </w:rPr>
              <w:t>Initial informational boundary fixed by origin</w:t>
            </w:r>
          </w:p>
        </w:tc>
        <w:tc>
          <w:tcPr>
            <w:tcW w:type="dxa" w:w="2078"/>
            <w:vAlign w:val="top"/>
          </w:tcPr>
          <w:p>
            <w:r>
              <w:rPr>
                <w:rFonts w:ascii="Times New Roman" w:hAnsi="Times New Roman"/>
                <w:sz w:val="13"/>
              </w:rPr>
              <w:t>PDTA §§3,9</w:t>
            </w:r>
          </w:p>
        </w:tc>
        <w:tc>
          <w:tcPr>
            <w:tcW w:type="dxa" w:w="2078"/>
            <w:vAlign w:val="top"/>
          </w:tcPr>
          <w:p>
            <w:r>
              <w:rPr>
                <w:rFonts w:ascii="Times New Roman" w:hAnsi="Times New Roman"/>
                <w:sz w:val="13"/>
              </w:rPr>
              <w:t>CF-03</w:t>
            </w:r>
          </w:p>
        </w:tc>
        <w:tc>
          <w:tcPr>
            <w:tcW w:type="dxa" w:w="2078"/>
            <w:vAlign w:val="top"/>
          </w:tcPr>
          <w:p>
            <w:r>
              <w:rPr>
                <w:rFonts w:ascii="Times New Roman" w:hAnsi="Times New Roman"/>
                <w:sz w:val="13"/>
              </w:rPr>
              <w:t>Purpose burden</w:t>
            </w:r>
          </w:p>
        </w:tc>
      </w:tr>
      <w:tr>
        <w:tc>
          <w:tcPr>
            <w:tcW w:type="dxa" w:w="2078"/>
            <w:vAlign w:val="top"/>
          </w:tcPr>
          <w:p>
            <w:r>
              <w:rPr>
                <w:rFonts w:ascii="Times New Roman" w:hAnsi="Times New Roman"/>
                <w:sz w:val="13"/>
              </w:rPr>
              <w:t>T-08</w:t>
            </w:r>
          </w:p>
        </w:tc>
        <w:tc>
          <w:tcPr>
            <w:tcW w:type="dxa" w:w="2078"/>
            <w:vAlign w:val="top"/>
          </w:tcPr>
          <w:p>
            <w:r>
              <w:rPr>
                <w:rFonts w:ascii="Times New Roman" w:hAnsi="Times New Roman"/>
                <w:sz w:val="13"/>
              </w:rPr>
              <w:t>Citizen-originated purpose</w:t>
            </w:r>
          </w:p>
        </w:tc>
        <w:tc>
          <w:tcPr>
            <w:tcW w:type="dxa" w:w="2078"/>
            <w:vAlign w:val="top"/>
          </w:tcPr>
          <w:p>
            <w:r>
              <w:rPr>
                <w:rFonts w:ascii="Times New Roman" w:hAnsi="Times New Roman"/>
                <w:sz w:val="13"/>
              </w:rPr>
              <w:t>OIP citizen branch</w:t>
            </w:r>
          </w:p>
        </w:tc>
        <w:tc>
          <w:tcPr>
            <w:tcW w:type="dxa" w:w="2078"/>
            <w:vAlign w:val="top"/>
          </w:tcPr>
          <w:p>
            <w:r>
              <w:rPr>
                <w:rFonts w:ascii="Times New Roman" w:hAnsi="Times New Roman"/>
                <w:sz w:val="13"/>
              </w:rPr>
              <w:t>Citizen request bounds initial service interaction</w:t>
            </w:r>
          </w:p>
        </w:tc>
        <w:tc>
          <w:tcPr>
            <w:tcW w:type="dxa" w:w="2078"/>
            <w:vAlign w:val="top"/>
          </w:tcPr>
          <w:p>
            <w:r>
              <w:rPr>
                <w:rFonts w:ascii="Times New Roman" w:hAnsi="Times New Roman"/>
                <w:sz w:val="13"/>
              </w:rPr>
              <w:t>PDTA §9; VIDA service provisions</w:t>
            </w:r>
          </w:p>
        </w:tc>
        <w:tc>
          <w:tcPr>
            <w:tcW w:type="dxa" w:w="2078"/>
            <w:vAlign w:val="top"/>
          </w:tcPr>
          <w:p>
            <w:r>
              <w:rPr>
                <w:rFonts w:ascii="Times New Roman" w:hAnsi="Times New Roman"/>
                <w:sz w:val="13"/>
              </w:rPr>
              <w:t>CF-03, CF-41</w:t>
            </w:r>
          </w:p>
        </w:tc>
        <w:tc>
          <w:tcPr>
            <w:tcW w:type="dxa" w:w="2078"/>
            <w:vAlign w:val="top"/>
          </w:tcPr>
          <w:p>
            <w:r>
              <w:rPr>
                <w:rFonts w:ascii="Times New Roman" w:hAnsi="Times New Roman"/>
                <w:sz w:val="13"/>
              </w:rPr>
              <w:t>Rights/remedies as applicable</w:t>
            </w:r>
          </w:p>
        </w:tc>
      </w:tr>
      <w:tr>
        <w:tc>
          <w:tcPr>
            <w:tcW w:type="dxa" w:w="2078"/>
            <w:vAlign w:val="top"/>
          </w:tcPr>
          <w:p>
            <w:r>
              <w:rPr>
                <w:rFonts w:ascii="Times New Roman" w:hAnsi="Times New Roman"/>
                <w:sz w:val="13"/>
              </w:rPr>
              <w:t>T-09</w:t>
            </w:r>
          </w:p>
        </w:tc>
        <w:tc>
          <w:tcPr>
            <w:tcW w:type="dxa" w:w="2078"/>
            <w:vAlign w:val="top"/>
          </w:tcPr>
          <w:p>
            <w:r>
              <w:rPr>
                <w:rFonts w:ascii="Times New Roman" w:hAnsi="Times New Roman"/>
                <w:sz w:val="13"/>
              </w:rPr>
              <w:t>Authority-originated purpose</w:t>
            </w:r>
          </w:p>
        </w:tc>
        <w:tc>
          <w:tcPr>
            <w:tcW w:type="dxa" w:w="2078"/>
            <w:vAlign w:val="top"/>
          </w:tcPr>
          <w:p>
            <w:r>
              <w:rPr>
                <w:rFonts w:ascii="Times New Roman" w:hAnsi="Times New Roman"/>
                <w:sz w:val="13"/>
              </w:rPr>
              <w:t>OIP sovereign branch</w:t>
            </w:r>
          </w:p>
        </w:tc>
        <w:tc>
          <w:tcPr>
            <w:tcW w:type="dxa" w:w="2078"/>
            <w:vAlign w:val="top"/>
          </w:tcPr>
          <w:p>
            <w:r>
              <w:rPr>
                <w:rFonts w:ascii="Times New Roman" w:hAnsi="Times New Roman"/>
                <w:sz w:val="13"/>
              </w:rPr>
              <w:t>Government initiation requires independent authority</w:t>
            </w:r>
          </w:p>
        </w:tc>
        <w:tc>
          <w:tcPr>
            <w:tcW w:type="dxa" w:w="2078"/>
            <w:vAlign w:val="top"/>
          </w:tcPr>
          <w:p>
            <w:r>
              <w:rPr>
                <w:rFonts w:ascii="Times New Roman" w:hAnsi="Times New Roman"/>
                <w:sz w:val="13"/>
              </w:rPr>
              <w:t>PDTA §§8-10</w:t>
            </w:r>
          </w:p>
        </w:tc>
        <w:tc>
          <w:tcPr>
            <w:tcW w:type="dxa" w:w="2078"/>
            <w:vAlign w:val="top"/>
          </w:tcPr>
          <w:p>
            <w:r>
              <w:rPr>
                <w:rFonts w:ascii="Times New Roman" w:hAnsi="Times New Roman"/>
                <w:sz w:val="13"/>
              </w:rPr>
              <w:t>CF-03-CF-05</w:t>
            </w:r>
          </w:p>
        </w:tc>
        <w:tc>
          <w:tcPr>
            <w:tcW w:type="dxa" w:w="2078"/>
            <w:vAlign w:val="top"/>
          </w:tcPr>
          <w:p>
            <w:r>
              <w:rPr>
                <w:rFonts w:ascii="Times New Roman" w:hAnsi="Times New Roman"/>
                <w:sz w:val="13"/>
              </w:rPr>
              <w:t>Burden on government</w:t>
            </w:r>
          </w:p>
        </w:tc>
      </w:tr>
      <w:tr>
        <w:tc>
          <w:tcPr>
            <w:tcW w:type="dxa" w:w="2078"/>
            <w:vAlign w:val="top"/>
          </w:tcPr>
          <w:p>
            <w:r>
              <w:rPr>
                <w:rFonts w:ascii="Times New Roman" w:hAnsi="Times New Roman"/>
                <w:sz w:val="13"/>
              </w:rPr>
              <w:t>T-10</w:t>
            </w:r>
          </w:p>
        </w:tc>
        <w:tc>
          <w:tcPr>
            <w:tcW w:type="dxa" w:w="2078"/>
            <w:vAlign w:val="top"/>
          </w:tcPr>
          <w:p>
            <w:r>
              <w:rPr>
                <w:rFonts w:ascii="Times New Roman" w:hAnsi="Times New Roman"/>
                <w:sz w:val="13"/>
              </w:rPr>
              <w:t>Purpose Particularity</w:t>
            </w:r>
          </w:p>
        </w:tc>
        <w:tc>
          <w:tcPr>
            <w:tcW w:type="dxa" w:w="2078"/>
            <w:vAlign w:val="top"/>
          </w:tcPr>
          <w:p>
            <w:r>
              <w:rPr>
                <w:rFonts w:ascii="Times New Roman" w:hAnsi="Times New Roman"/>
                <w:sz w:val="13"/>
              </w:rPr>
              <w:t>Particularity</w:t>
            </w:r>
          </w:p>
        </w:tc>
        <w:tc>
          <w:tcPr>
            <w:tcW w:type="dxa" w:w="2078"/>
            <w:vAlign w:val="top"/>
          </w:tcPr>
          <w:p>
            <w:r>
              <w:rPr>
                <w:rFonts w:ascii="Times New Roman" w:hAnsi="Times New Roman"/>
                <w:sz w:val="13"/>
              </w:rPr>
              <w:t>Purpose independently reviewable</w:t>
            </w:r>
          </w:p>
        </w:tc>
        <w:tc>
          <w:tcPr>
            <w:tcW w:type="dxa" w:w="2078"/>
            <w:vAlign w:val="top"/>
          </w:tcPr>
          <w:p>
            <w:r>
              <w:rPr>
                <w:rFonts w:ascii="Times New Roman" w:hAnsi="Times New Roman"/>
                <w:sz w:val="13"/>
              </w:rPr>
              <w:t>PDTA §10</w:t>
            </w:r>
          </w:p>
        </w:tc>
        <w:tc>
          <w:tcPr>
            <w:tcW w:type="dxa" w:w="2078"/>
            <w:vAlign w:val="top"/>
          </w:tcPr>
          <w:p>
            <w:r>
              <w:rPr>
                <w:rFonts w:ascii="Times New Roman" w:hAnsi="Times New Roman"/>
                <w:sz w:val="13"/>
              </w:rPr>
              <w:t>CF-04</w:t>
            </w:r>
          </w:p>
        </w:tc>
        <w:tc>
          <w:tcPr>
            <w:tcW w:type="dxa" w:w="2078"/>
            <w:vAlign w:val="top"/>
          </w:tcPr>
          <w:p>
            <w:r>
              <w:rPr>
                <w:rFonts w:ascii="Times New Roman" w:hAnsi="Times New Roman"/>
                <w:sz w:val="13"/>
              </w:rPr>
              <w:t>DTA/court review</w:t>
            </w:r>
          </w:p>
        </w:tc>
      </w:tr>
      <w:tr>
        <w:tc>
          <w:tcPr>
            <w:tcW w:type="dxa" w:w="2078"/>
            <w:vAlign w:val="top"/>
          </w:tcPr>
          <w:p>
            <w:r>
              <w:rPr>
                <w:rFonts w:ascii="Times New Roman" w:hAnsi="Times New Roman"/>
                <w:sz w:val="13"/>
              </w:rPr>
              <w:t>T-11</w:t>
            </w:r>
          </w:p>
        </w:tc>
        <w:tc>
          <w:tcPr>
            <w:tcW w:type="dxa" w:w="2078"/>
            <w:vAlign w:val="top"/>
          </w:tcPr>
          <w:p>
            <w:r>
              <w:rPr>
                <w:rFonts w:ascii="Times New Roman" w:hAnsi="Times New Roman"/>
                <w:sz w:val="13"/>
              </w:rPr>
              <w:t>Purpose Sequestration</w:t>
            </w:r>
          </w:p>
        </w:tc>
        <w:tc>
          <w:tcPr>
            <w:tcW w:type="dxa" w:w="2078"/>
            <w:vAlign w:val="top"/>
          </w:tcPr>
          <w:p>
            <w:r>
              <w:rPr>
                <w:rFonts w:ascii="Times New Roman" w:hAnsi="Times New Roman"/>
                <w:sz w:val="13"/>
              </w:rPr>
              <w:t>Separation</w:t>
            </w:r>
          </w:p>
        </w:tc>
        <w:tc>
          <w:tcPr>
            <w:tcW w:type="dxa" w:w="2078"/>
            <w:vAlign w:val="top"/>
          </w:tcPr>
          <w:p>
            <w:r>
              <w:rPr>
                <w:rFonts w:ascii="Times New Roman" w:hAnsi="Times New Roman"/>
                <w:sz w:val="13"/>
              </w:rPr>
              <w:t>Cross-purpose access unavailable absent authority</w:t>
            </w:r>
          </w:p>
        </w:tc>
        <w:tc>
          <w:tcPr>
            <w:tcW w:type="dxa" w:w="2078"/>
            <w:vAlign w:val="top"/>
          </w:tcPr>
          <w:p>
            <w:r>
              <w:rPr>
                <w:rFonts w:ascii="Times New Roman" w:hAnsi="Times New Roman"/>
                <w:sz w:val="13"/>
              </w:rPr>
              <w:t>PDTA §19(c); VIDA §§10-12</w:t>
            </w:r>
          </w:p>
        </w:tc>
        <w:tc>
          <w:tcPr>
            <w:tcW w:type="dxa" w:w="2078"/>
            <w:vAlign w:val="top"/>
          </w:tcPr>
          <w:p>
            <w:r>
              <w:rPr>
                <w:rFonts w:ascii="Times New Roman" w:hAnsi="Times New Roman"/>
                <w:sz w:val="13"/>
              </w:rPr>
              <w:t>CF-08</w:t>
            </w:r>
          </w:p>
        </w:tc>
        <w:tc>
          <w:tcPr>
            <w:tcW w:type="dxa" w:w="2078"/>
            <w:vAlign w:val="top"/>
          </w:tcPr>
          <w:p>
            <w:r>
              <w:rPr>
                <w:rFonts w:ascii="Times New Roman" w:hAnsi="Times New Roman"/>
                <w:sz w:val="13"/>
              </w:rPr>
              <w:t>Structural conformance</w:t>
            </w:r>
          </w:p>
        </w:tc>
      </w:tr>
      <w:tr>
        <w:tc>
          <w:tcPr>
            <w:tcW w:type="dxa" w:w="2078"/>
            <w:vAlign w:val="top"/>
          </w:tcPr>
          <w:p>
            <w:r>
              <w:rPr>
                <w:rFonts w:ascii="Times New Roman" w:hAnsi="Times New Roman"/>
                <w:sz w:val="13"/>
              </w:rPr>
              <w:t>T-12</w:t>
            </w:r>
          </w:p>
        </w:tc>
        <w:tc>
          <w:tcPr>
            <w:tcW w:type="dxa" w:w="2078"/>
            <w:vAlign w:val="top"/>
          </w:tcPr>
          <w:p>
            <w:r>
              <w:rPr>
                <w:rFonts w:ascii="Times New Roman" w:hAnsi="Times New Roman"/>
                <w:sz w:val="13"/>
              </w:rPr>
              <w:t>Authorization Friction</w:t>
            </w:r>
          </w:p>
        </w:tc>
        <w:tc>
          <w:tcPr>
            <w:tcW w:type="dxa" w:w="2078"/>
            <w:vAlign w:val="top"/>
          </w:tcPr>
          <w:p>
            <w:r>
              <w:rPr>
                <w:rFonts w:ascii="Times New Roman" w:hAnsi="Times New Roman"/>
                <w:sz w:val="13"/>
              </w:rPr>
              <w:t>Material expansion transition</w:t>
            </w:r>
          </w:p>
        </w:tc>
        <w:tc>
          <w:tcPr>
            <w:tcW w:type="dxa" w:w="2078"/>
            <w:vAlign w:val="top"/>
          </w:tcPr>
          <w:p>
            <w:r>
              <w:rPr>
                <w:rFonts w:ascii="Times New Roman" w:hAnsi="Times New Roman"/>
                <w:sz w:val="13"/>
              </w:rPr>
              <w:t>Broader knowledge requires new authorization event</w:t>
            </w:r>
          </w:p>
        </w:tc>
        <w:tc>
          <w:tcPr>
            <w:tcW w:type="dxa" w:w="2078"/>
            <w:vAlign w:val="top"/>
          </w:tcPr>
          <w:p>
            <w:r>
              <w:rPr>
                <w:rFonts w:ascii="Times New Roman" w:hAnsi="Times New Roman"/>
                <w:sz w:val="13"/>
              </w:rPr>
              <w:t>PDTA §§8-10,19(e)</w:t>
            </w:r>
          </w:p>
        </w:tc>
        <w:tc>
          <w:tcPr>
            <w:tcW w:type="dxa" w:w="2078"/>
            <w:vAlign w:val="top"/>
          </w:tcPr>
          <w:p>
            <w:r>
              <w:rPr>
                <w:rFonts w:ascii="Times New Roman" w:hAnsi="Times New Roman"/>
                <w:sz w:val="13"/>
              </w:rPr>
              <w:t>CF-12, CF-13</w:t>
            </w:r>
          </w:p>
        </w:tc>
        <w:tc>
          <w:tcPr>
            <w:tcW w:type="dxa" w:w="2078"/>
            <w:vAlign w:val="top"/>
          </w:tcPr>
          <w:p>
            <w:r>
              <w:rPr>
                <w:rFonts w:ascii="Times New Roman" w:hAnsi="Times New Roman"/>
                <w:sz w:val="13"/>
              </w:rPr>
              <w:t>Conformance/structural relief</w:t>
            </w:r>
          </w:p>
        </w:tc>
      </w:tr>
      <w:tr>
        <w:tc>
          <w:tcPr>
            <w:tcW w:type="dxa" w:w="2078"/>
            <w:vAlign w:val="top"/>
          </w:tcPr>
          <w:p>
            <w:r>
              <w:rPr>
                <w:rFonts w:ascii="Times New Roman" w:hAnsi="Times New Roman"/>
                <w:sz w:val="13"/>
              </w:rPr>
              <w:t>T-13</w:t>
            </w:r>
          </w:p>
        </w:tc>
        <w:tc>
          <w:tcPr>
            <w:tcW w:type="dxa" w:w="2078"/>
            <w:vAlign w:val="top"/>
          </w:tcPr>
          <w:p>
            <w:r>
              <w:rPr>
                <w:rFonts w:ascii="Times New Roman" w:hAnsi="Times New Roman"/>
                <w:sz w:val="13"/>
              </w:rPr>
              <w:t>Standing Capability Test</w:t>
            </w:r>
          </w:p>
        </w:tc>
        <w:tc>
          <w:tcPr>
            <w:tcW w:type="dxa" w:w="2078"/>
            <w:vAlign w:val="top"/>
          </w:tcPr>
          <w:p>
            <w:r>
              <w:rPr>
                <w:rFonts w:ascii="Times New Roman" w:hAnsi="Times New Roman"/>
                <w:sz w:val="13"/>
              </w:rPr>
              <w:t>ACCP diagnostic</w:t>
            </w:r>
          </w:p>
        </w:tc>
        <w:tc>
          <w:tcPr>
            <w:tcW w:type="dxa" w:w="2078"/>
            <w:vAlign w:val="top"/>
          </w:tcPr>
          <w:p>
            <w:r>
              <w:rPr>
                <w:rFonts w:ascii="Times New Roman" w:hAnsi="Times New Roman"/>
                <w:sz w:val="13"/>
              </w:rPr>
              <w:t>Ordinary access tested for excess power</w:t>
            </w:r>
          </w:p>
        </w:tc>
        <w:tc>
          <w:tcPr>
            <w:tcW w:type="dxa" w:w="2078"/>
            <w:vAlign w:val="top"/>
          </w:tcPr>
          <w:p>
            <w:r>
              <w:rPr>
                <w:rFonts w:ascii="Times New Roman" w:hAnsi="Times New Roman"/>
                <w:sz w:val="13"/>
              </w:rPr>
              <w:t>PDTA §19(l); VIDA §28(f)</w:t>
            </w:r>
          </w:p>
        </w:tc>
        <w:tc>
          <w:tcPr>
            <w:tcW w:type="dxa" w:w="2078"/>
            <w:vAlign w:val="top"/>
          </w:tcPr>
          <w:p>
            <w:r>
              <w:rPr>
                <w:rFonts w:ascii="Times New Roman" w:hAnsi="Times New Roman"/>
                <w:sz w:val="13"/>
              </w:rPr>
              <w:t>CF-09, CF-40</w:t>
            </w:r>
          </w:p>
        </w:tc>
        <w:tc>
          <w:tcPr>
            <w:tcW w:type="dxa" w:w="2078"/>
            <w:vAlign w:val="top"/>
          </w:tcPr>
          <w:p>
            <w:r>
              <w:rPr>
                <w:rFonts w:ascii="Times New Roman" w:hAnsi="Times New Roman"/>
                <w:sz w:val="13"/>
              </w:rPr>
              <w:t>DTA testing</w:t>
            </w:r>
          </w:p>
        </w:tc>
      </w:tr>
      <w:tr>
        <w:tc>
          <w:tcPr>
            <w:tcW w:type="dxa" w:w="2078"/>
            <w:vAlign w:val="top"/>
          </w:tcPr>
          <w:p>
            <w:r>
              <w:rPr>
                <w:rFonts w:ascii="Times New Roman" w:hAnsi="Times New Roman"/>
                <w:sz w:val="13"/>
              </w:rPr>
              <w:t>T-14</w:t>
            </w:r>
          </w:p>
        </w:tc>
        <w:tc>
          <w:tcPr>
            <w:tcW w:type="dxa" w:w="2078"/>
            <w:vAlign w:val="top"/>
          </w:tcPr>
          <w:p>
            <w:r>
              <w:rPr>
                <w:rFonts w:ascii="Times New Roman" w:hAnsi="Times New Roman"/>
                <w:sz w:val="13"/>
              </w:rPr>
              <w:t>Functional integration</w:t>
            </w:r>
          </w:p>
        </w:tc>
        <w:tc>
          <w:tcPr>
            <w:tcW w:type="dxa" w:w="2078"/>
            <w:vAlign w:val="top"/>
          </w:tcPr>
          <w:p>
            <w:r>
              <w:rPr>
                <w:rFonts w:ascii="Times New Roman" w:hAnsi="Times New Roman"/>
                <w:sz w:val="13"/>
              </w:rPr>
              <w:t>Capability over topology</w:t>
            </w:r>
          </w:p>
        </w:tc>
        <w:tc>
          <w:tcPr>
            <w:tcW w:type="dxa" w:w="2078"/>
            <w:vAlign w:val="top"/>
          </w:tcPr>
          <w:p>
            <w:r>
              <w:rPr>
                <w:rFonts w:ascii="Times New Roman" w:hAnsi="Times New Roman"/>
                <w:sz w:val="13"/>
              </w:rPr>
              <w:t>APIs/search/AI count as integration</w:t>
            </w:r>
          </w:p>
        </w:tc>
        <w:tc>
          <w:tcPr>
            <w:tcW w:type="dxa" w:w="2078"/>
            <w:vAlign w:val="top"/>
          </w:tcPr>
          <w:p>
            <w:r>
              <w:rPr>
                <w:rFonts w:ascii="Times New Roman" w:hAnsi="Times New Roman"/>
                <w:sz w:val="13"/>
              </w:rPr>
              <w:t>PDTA §§14,19; VIDA §28(f)</w:t>
            </w:r>
          </w:p>
        </w:tc>
        <w:tc>
          <w:tcPr>
            <w:tcW w:type="dxa" w:w="2078"/>
            <w:vAlign w:val="top"/>
          </w:tcPr>
          <w:p>
            <w:r>
              <w:rPr>
                <w:rFonts w:ascii="Times New Roman" w:hAnsi="Times New Roman"/>
                <w:sz w:val="13"/>
              </w:rPr>
              <w:t>CF-10, CF-11</w:t>
            </w:r>
          </w:p>
        </w:tc>
        <w:tc>
          <w:tcPr>
            <w:tcW w:type="dxa" w:w="2078"/>
            <w:vAlign w:val="top"/>
          </w:tcPr>
          <w:p>
            <w:r>
              <w:rPr>
                <w:rFonts w:ascii="Times New Roman" w:hAnsi="Times New Roman"/>
                <w:sz w:val="13"/>
              </w:rPr>
              <w:t>Structural disqualifier</w:t>
            </w:r>
          </w:p>
        </w:tc>
      </w:tr>
      <w:tr>
        <w:tc>
          <w:tcPr>
            <w:tcW w:type="dxa" w:w="2078"/>
            <w:vAlign w:val="top"/>
          </w:tcPr>
          <w:p>
            <w:r>
              <w:rPr>
                <w:rFonts w:ascii="Times New Roman" w:hAnsi="Times New Roman"/>
                <w:sz w:val="13"/>
              </w:rPr>
              <w:t>T-15</w:t>
            </w:r>
          </w:p>
        </w:tc>
        <w:tc>
          <w:tcPr>
            <w:tcW w:type="dxa" w:w="2078"/>
            <w:vAlign w:val="top"/>
          </w:tcPr>
          <w:p>
            <w:r>
              <w:rPr>
                <w:rFonts w:ascii="Times New Roman" w:hAnsi="Times New Roman"/>
                <w:sz w:val="13"/>
              </w:rPr>
              <w:t>No Government Population Golden Record</w:t>
            </w:r>
          </w:p>
        </w:tc>
        <w:tc>
          <w:tcPr>
            <w:tcW w:type="dxa" w:w="2078"/>
            <w:vAlign w:val="top"/>
          </w:tcPr>
          <w:p>
            <w:r>
              <w:rPr>
                <w:rFonts w:ascii="Times New Roman" w:hAnsi="Times New Roman"/>
                <w:sz w:val="13"/>
              </w:rPr>
              <w:t>No panoramic government</w:t>
            </w:r>
          </w:p>
        </w:tc>
        <w:tc>
          <w:tcPr>
            <w:tcW w:type="dxa" w:w="2078"/>
            <w:vAlign w:val="top"/>
          </w:tcPr>
          <w:p>
            <w:r>
              <w:rPr>
                <w:rFonts w:ascii="Times New Roman" w:hAnsi="Times New Roman"/>
                <w:sz w:val="13"/>
              </w:rPr>
              <w:t>Population-scale integrated profile prohibited</w:t>
            </w:r>
          </w:p>
        </w:tc>
        <w:tc>
          <w:tcPr>
            <w:tcW w:type="dxa" w:w="2078"/>
            <w:vAlign w:val="top"/>
          </w:tcPr>
          <w:p>
            <w:r>
              <w:rPr>
                <w:rFonts w:ascii="Times New Roman" w:hAnsi="Times New Roman"/>
                <w:sz w:val="13"/>
              </w:rPr>
              <w:t>PDTA §§14,19(d); VIDA §§10-12</w:t>
            </w:r>
          </w:p>
        </w:tc>
        <w:tc>
          <w:tcPr>
            <w:tcW w:type="dxa" w:w="2078"/>
            <w:vAlign w:val="top"/>
          </w:tcPr>
          <w:p>
            <w:r>
              <w:rPr>
                <w:rFonts w:ascii="Times New Roman" w:hAnsi="Times New Roman"/>
                <w:sz w:val="13"/>
              </w:rPr>
              <w:t>CF-10</w:t>
            </w:r>
          </w:p>
        </w:tc>
        <w:tc>
          <w:tcPr>
            <w:tcW w:type="dxa" w:w="2078"/>
            <w:vAlign w:val="top"/>
          </w:tcPr>
          <w:p>
            <w:r>
              <w:rPr>
                <w:rFonts w:ascii="Times New Roman" w:hAnsi="Times New Roman"/>
                <w:sz w:val="13"/>
              </w:rPr>
              <w:t>Structural remedy</w:t>
            </w:r>
          </w:p>
        </w:tc>
      </w:tr>
      <w:tr>
        <w:tc>
          <w:tcPr>
            <w:tcW w:type="dxa" w:w="2078"/>
            <w:vAlign w:val="top"/>
          </w:tcPr>
          <w:p>
            <w:r>
              <w:rPr>
                <w:rFonts w:ascii="Times New Roman" w:hAnsi="Times New Roman"/>
                <w:sz w:val="13"/>
              </w:rPr>
              <w:t>T-16</w:t>
            </w:r>
          </w:p>
        </w:tc>
        <w:tc>
          <w:tcPr>
            <w:tcW w:type="dxa" w:w="2078"/>
            <w:vAlign w:val="top"/>
          </w:tcPr>
          <w:p>
            <w:r>
              <w:rPr>
                <w:rFonts w:ascii="Times New Roman" w:hAnsi="Times New Roman"/>
                <w:sz w:val="13"/>
              </w:rPr>
              <w:t>Individual Golden Record</w:t>
            </w:r>
          </w:p>
        </w:tc>
        <w:tc>
          <w:tcPr>
            <w:tcW w:type="dxa" w:w="2078"/>
            <w:vAlign w:val="top"/>
          </w:tcPr>
          <w:p>
            <w:r>
              <w:rPr>
                <w:rFonts w:ascii="Times New Roman" w:hAnsi="Times New Roman"/>
                <w:sz w:val="13"/>
              </w:rPr>
              <w:t>PIT-centered integration</w:t>
            </w:r>
          </w:p>
        </w:tc>
        <w:tc>
          <w:tcPr>
            <w:tcW w:type="dxa" w:w="2078"/>
            <w:vAlign w:val="top"/>
          </w:tcPr>
          <w:p>
            <w:r>
              <w:rPr>
                <w:rFonts w:ascii="Times New Roman" w:hAnsi="Times New Roman"/>
                <w:sz w:val="13"/>
              </w:rPr>
              <w:t>Person may hold/integrate own information subject law</w:t>
            </w:r>
          </w:p>
        </w:tc>
        <w:tc>
          <w:tcPr>
            <w:tcW w:type="dxa" w:w="2078"/>
            <w:vAlign w:val="top"/>
          </w:tcPr>
          <w:p>
            <w:r>
              <w:rPr>
                <w:rFonts w:ascii="Times New Roman" w:hAnsi="Times New Roman"/>
                <w:sz w:val="13"/>
              </w:rPr>
              <w:t>PDTA PIT framework; VIDA holder-control provisions</w:t>
            </w:r>
          </w:p>
        </w:tc>
        <w:tc>
          <w:tcPr>
            <w:tcW w:type="dxa" w:w="2078"/>
            <w:vAlign w:val="top"/>
          </w:tcPr>
          <w:p>
            <w:r>
              <w:rPr>
                <w:rFonts w:ascii="Times New Roman" w:hAnsi="Times New Roman"/>
                <w:sz w:val="13"/>
              </w:rPr>
              <w:t>FCGIAS implementation profile</w:t>
            </w:r>
          </w:p>
        </w:tc>
        <w:tc>
          <w:tcPr>
            <w:tcW w:type="dxa" w:w="2078"/>
            <w:vAlign w:val="top"/>
          </w:tcPr>
          <w:p>
            <w:r>
              <w:rPr>
                <w:rFonts w:ascii="Times New Roman" w:hAnsi="Times New Roman"/>
                <w:sz w:val="13"/>
              </w:rPr>
              <w:t>Rights/portability</w:t>
            </w:r>
          </w:p>
        </w:tc>
      </w:tr>
      <w:tr>
        <w:tc>
          <w:tcPr>
            <w:tcW w:type="dxa" w:w="2078"/>
            <w:vAlign w:val="top"/>
          </w:tcPr>
          <w:p>
            <w:r>
              <w:rPr>
                <w:rFonts w:ascii="Times New Roman" w:hAnsi="Times New Roman"/>
                <w:sz w:val="13"/>
              </w:rPr>
              <w:t>T-17</w:t>
            </w:r>
          </w:p>
        </w:tc>
        <w:tc>
          <w:tcPr>
            <w:tcW w:type="dxa" w:w="2078"/>
            <w:vAlign w:val="top"/>
          </w:tcPr>
          <w:p>
            <w:r>
              <w:rPr>
                <w:rFonts w:ascii="Times New Roman" w:hAnsi="Times New Roman"/>
                <w:sz w:val="13"/>
              </w:rPr>
              <w:t>Verification before collection</w:t>
            </w:r>
          </w:p>
        </w:tc>
        <w:tc>
          <w:tcPr>
            <w:tcW w:type="dxa" w:w="2078"/>
            <w:vAlign w:val="top"/>
          </w:tcPr>
          <w:p>
            <w:r>
              <w:rPr>
                <w:rFonts w:ascii="Times New Roman" w:hAnsi="Times New Roman"/>
                <w:sz w:val="13"/>
              </w:rPr>
              <w:t>Care/minimization</w:t>
            </w:r>
          </w:p>
        </w:tc>
        <w:tc>
          <w:tcPr>
            <w:tcW w:type="dxa" w:w="2078"/>
            <w:vAlign w:val="top"/>
          </w:tcPr>
          <w:p>
            <w:r>
              <w:rPr>
                <w:rFonts w:ascii="Times New Roman" w:hAnsi="Times New Roman"/>
                <w:sz w:val="13"/>
              </w:rPr>
              <w:t>Prefer answer over unnecessary source transfer</w:t>
            </w:r>
          </w:p>
        </w:tc>
        <w:tc>
          <w:tcPr>
            <w:tcW w:type="dxa" w:w="2078"/>
            <w:vAlign w:val="top"/>
          </w:tcPr>
          <w:p>
            <w:r>
              <w:rPr>
                <w:rFonts w:ascii="Times New Roman" w:hAnsi="Times New Roman"/>
                <w:sz w:val="13"/>
              </w:rPr>
              <w:t>PDTA §7; VIDA verification provisions</w:t>
            </w:r>
          </w:p>
        </w:tc>
        <w:tc>
          <w:tcPr>
            <w:tcW w:type="dxa" w:w="2078"/>
            <w:vAlign w:val="top"/>
          </w:tcPr>
          <w:p>
            <w:r>
              <w:rPr>
                <w:rFonts w:ascii="Times New Roman" w:hAnsi="Times New Roman"/>
                <w:sz w:val="13"/>
              </w:rPr>
              <w:t>CF-20</w:t>
            </w:r>
          </w:p>
        </w:tc>
        <w:tc>
          <w:tcPr>
            <w:tcW w:type="dxa" w:w="2078"/>
            <w:vAlign w:val="top"/>
          </w:tcPr>
          <w:p>
            <w:r>
              <w:rPr>
                <w:rFonts w:ascii="Times New Roman" w:hAnsi="Times New Roman"/>
                <w:sz w:val="13"/>
              </w:rPr>
              <w:t>Conformance; rights</w:t>
            </w:r>
          </w:p>
        </w:tc>
      </w:tr>
      <w:tr>
        <w:tc>
          <w:tcPr>
            <w:tcW w:type="dxa" w:w="2078"/>
            <w:vAlign w:val="top"/>
          </w:tcPr>
          <w:p>
            <w:r>
              <w:rPr>
                <w:rFonts w:ascii="Times New Roman" w:hAnsi="Times New Roman"/>
                <w:sz w:val="13"/>
              </w:rPr>
              <w:t>T-18</w:t>
            </w:r>
          </w:p>
        </w:tc>
        <w:tc>
          <w:tcPr>
            <w:tcW w:type="dxa" w:w="2078"/>
            <w:vAlign w:val="top"/>
          </w:tcPr>
          <w:p>
            <w:r>
              <w:rPr>
                <w:rFonts w:ascii="Times New Roman" w:hAnsi="Times New Roman"/>
                <w:sz w:val="13"/>
              </w:rPr>
              <w:t>Minimum Knowledge Exposure</w:t>
            </w:r>
          </w:p>
        </w:tc>
        <w:tc>
          <w:tcPr>
            <w:tcW w:type="dxa" w:w="2078"/>
            <w:vAlign w:val="top"/>
          </w:tcPr>
          <w:p>
            <w:r>
              <w:rPr>
                <w:rFonts w:ascii="Times New Roman" w:hAnsi="Times New Roman"/>
                <w:sz w:val="13"/>
              </w:rPr>
              <w:t>Care</w:t>
            </w:r>
          </w:p>
        </w:tc>
        <w:tc>
          <w:tcPr>
            <w:tcW w:type="dxa" w:w="2078"/>
            <w:vAlign w:val="top"/>
          </w:tcPr>
          <w:p>
            <w:r>
              <w:rPr>
                <w:rFonts w:ascii="Times New Roman" w:hAnsi="Times New Roman"/>
                <w:sz w:val="13"/>
              </w:rPr>
              <w:t>Disclose only authorized answer/attributes</w:t>
            </w:r>
          </w:p>
        </w:tc>
        <w:tc>
          <w:tcPr>
            <w:tcW w:type="dxa" w:w="2078"/>
            <w:vAlign w:val="top"/>
          </w:tcPr>
          <w:p>
            <w:r>
              <w:rPr>
                <w:rFonts w:ascii="Times New Roman" w:hAnsi="Times New Roman"/>
                <w:sz w:val="13"/>
              </w:rPr>
              <w:t>VIDA selective disclosure; PDTA §7</w:t>
            </w:r>
          </w:p>
        </w:tc>
        <w:tc>
          <w:tcPr>
            <w:tcW w:type="dxa" w:w="2078"/>
            <w:vAlign w:val="top"/>
          </w:tcPr>
          <w:p>
            <w:r>
              <w:rPr>
                <w:rFonts w:ascii="Times New Roman" w:hAnsi="Times New Roman"/>
                <w:sz w:val="13"/>
              </w:rPr>
              <w:t>CF-21</w:t>
            </w:r>
          </w:p>
        </w:tc>
        <w:tc>
          <w:tcPr>
            <w:tcW w:type="dxa" w:w="2078"/>
            <w:vAlign w:val="top"/>
          </w:tcPr>
          <w:p>
            <w:r>
              <w:rPr>
                <w:rFonts w:ascii="Times New Roman" w:hAnsi="Times New Roman"/>
                <w:sz w:val="13"/>
              </w:rPr>
              <w:t>Conformance</w:t>
            </w:r>
          </w:p>
        </w:tc>
      </w:tr>
      <w:tr>
        <w:tc>
          <w:tcPr>
            <w:tcW w:type="dxa" w:w="2078"/>
            <w:vAlign w:val="top"/>
          </w:tcPr>
          <w:p>
            <w:r>
              <w:rPr>
                <w:rFonts w:ascii="Times New Roman" w:hAnsi="Times New Roman"/>
                <w:sz w:val="13"/>
              </w:rPr>
              <w:t>T-19</w:t>
            </w:r>
          </w:p>
        </w:tc>
        <w:tc>
          <w:tcPr>
            <w:tcW w:type="dxa" w:w="2078"/>
            <w:vAlign w:val="top"/>
          </w:tcPr>
          <w:p>
            <w:r>
              <w:rPr>
                <w:rFonts w:ascii="Times New Roman" w:hAnsi="Times New Roman"/>
                <w:sz w:val="13"/>
              </w:rPr>
              <w:t>Purpose-Bounded Discovery</w:t>
            </w:r>
          </w:p>
        </w:tc>
        <w:tc>
          <w:tcPr>
            <w:tcW w:type="dxa" w:w="2078"/>
            <w:vAlign w:val="top"/>
          </w:tcPr>
          <w:p>
            <w:r>
              <w:rPr>
                <w:rFonts w:ascii="Times New Roman" w:hAnsi="Times New Roman"/>
                <w:sz w:val="13"/>
              </w:rPr>
              <w:t>Bounded discovery</w:t>
            </w:r>
          </w:p>
        </w:tc>
        <w:tc>
          <w:tcPr>
            <w:tcW w:type="dxa" w:w="2078"/>
            <w:vAlign w:val="top"/>
          </w:tcPr>
          <w:p>
            <w:r>
              <w:rPr>
                <w:rFonts w:ascii="Times New Roman" w:hAnsi="Times New Roman"/>
                <w:sz w:val="13"/>
              </w:rPr>
              <w:t>Unknown target does not imply unlimited domain</w:t>
            </w:r>
          </w:p>
        </w:tc>
        <w:tc>
          <w:tcPr>
            <w:tcW w:type="dxa" w:w="2078"/>
            <w:vAlign w:val="top"/>
          </w:tcPr>
          <w:p>
            <w:r>
              <w:rPr>
                <w:rFonts w:ascii="Times New Roman" w:hAnsi="Times New Roman"/>
                <w:sz w:val="13"/>
              </w:rPr>
              <w:t>PDTA discovery provisions; GAAFA §§10,21</w:t>
            </w:r>
          </w:p>
        </w:tc>
        <w:tc>
          <w:tcPr>
            <w:tcW w:type="dxa" w:w="2078"/>
            <w:vAlign w:val="top"/>
          </w:tcPr>
          <w:p>
            <w:r>
              <w:rPr>
                <w:rFonts w:ascii="Times New Roman" w:hAnsi="Times New Roman"/>
                <w:sz w:val="13"/>
              </w:rPr>
              <w:t>CF-18</w:t>
            </w:r>
          </w:p>
        </w:tc>
        <w:tc>
          <w:tcPr>
            <w:tcW w:type="dxa" w:w="2078"/>
            <w:vAlign w:val="top"/>
          </w:tcPr>
          <w:p>
            <w:r>
              <w:rPr>
                <w:rFonts w:ascii="Times New Roman" w:hAnsi="Times New Roman"/>
                <w:sz w:val="13"/>
              </w:rPr>
              <w:t>DTA/court review</w:t>
            </w:r>
          </w:p>
        </w:tc>
      </w:tr>
      <w:tr>
        <w:tc>
          <w:tcPr>
            <w:tcW w:type="dxa" w:w="2078"/>
            <w:vAlign w:val="top"/>
          </w:tcPr>
          <w:p>
            <w:r>
              <w:rPr>
                <w:rFonts w:ascii="Times New Roman" w:hAnsi="Times New Roman"/>
                <w:sz w:val="13"/>
              </w:rPr>
              <w:t>T-20</w:t>
            </w:r>
          </w:p>
        </w:tc>
        <w:tc>
          <w:tcPr>
            <w:tcW w:type="dxa" w:w="2078"/>
            <w:vAlign w:val="top"/>
          </w:tcPr>
          <w:p>
            <w:r>
              <w:rPr>
                <w:rFonts w:ascii="Times New Roman" w:hAnsi="Times New Roman"/>
                <w:sz w:val="13"/>
              </w:rPr>
              <w:t>Progressive particularization</w:t>
            </w:r>
          </w:p>
        </w:tc>
        <w:tc>
          <w:tcPr>
            <w:tcW w:type="dxa" w:w="2078"/>
            <w:vAlign w:val="top"/>
          </w:tcPr>
          <w:p>
            <w:r>
              <w:rPr>
                <w:rFonts w:ascii="Times New Roman" w:hAnsi="Times New Roman"/>
                <w:sz w:val="13"/>
              </w:rPr>
              <w:t>Discovery-to-investigation transition</w:t>
            </w:r>
          </w:p>
        </w:tc>
        <w:tc>
          <w:tcPr>
            <w:tcW w:type="dxa" w:w="2078"/>
            <w:vAlign w:val="top"/>
          </w:tcPr>
          <w:p>
            <w:r>
              <w:rPr>
                <w:rFonts w:ascii="Times New Roman" w:hAnsi="Times New Roman"/>
                <w:sz w:val="13"/>
              </w:rPr>
              <w:t>Scope narrows as object becomes known</w:t>
            </w:r>
          </w:p>
        </w:tc>
        <w:tc>
          <w:tcPr>
            <w:tcW w:type="dxa" w:w="2078"/>
            <w:vAlign w:val="top"/>
          </w:tcPr>
          <w:p>
            <w:r>
              <w:rPr>
                <w:rFonts w:ascii="Times New Roman" w:hAnsi="Times New Roman"/>
                <w:sz w:val="13"/>
              </w:rPr>
              <w:t>PDTA discovery provisions</w:t>
            </w:r>
          </w:p>
        </w:tc>
        <w:tc>
          <w:tcPr>
            <w:tcW w:type="dxa" w:w="2078"/>
            <w:vAlign w:val="top"/>
          </w:tcPr>
          <w:p>
            <w:r>
              <w:rPr>
                <w:rFonts w:ascii="Times New Roman" w:hAnsi="Times New Roman"/>
                <w:sz w:val="13"/>
              </w:rPr>
              <w:t>CF-19, CF-47</w:t>
            </w:r>
          </w:p>
        </w:tc>
        <w:tc>
          <w:tcPr>
            <w:tcW w:type="dxa" w:w="2078"/>
            <w:vAlign w:val="top"/>
          </w:tcPr>
          <w:p>
            <w:r>
              <w:rPr>
                <w:rFonts w:ascii="Times New Roman" w:hAnsi="Times New Roman"/>
                <w:sz w:val="13"/>
              </w:rPr>
              <w:t>Conformance</w:t>
            </w:r>
          </w:p>
        </w:tc>
      </w:tr>
      <w:tr>
        <w:tc>
          <w:tcPr>
            <w:tcW w:type="dxa" w:w="2078"/>
            <w:vAlign w:val="top"/>
          </w:tcPr>
          <w:p>
            <w:r>
              <w:rPr>
                <w:rFonts w:ascii="Times New Roman" w:hAnsi="Times New Roman"/>
                <w:sz w:val="13"/>
              </w:rPr>
              <w:t>T-21</w:t>
            </w:r>
          </w:p>
        </w:tc>
        <w:tc>
          <w:tcPr>
            <w:tcW w:type="dxa" w:w="2078"/>
            <w:vAlign w:val="top"/>
          </w:tcPr>
          <w:p>
            <w:r>
              <w:rPr>
                <w:rFonts w:ascii="Times New Roman" w:hAnsi="Times New Roman"/>
                <w:sz w:val="13"/>
              </w:rPr>
              <w:t>Material Secondary Correlation</w:t>
            </w:r>
          </w:p>
        </w:tc>
        <w:tc>
          <w:tcPr>
            <w:tcW w:type="dxa" w:w="2078"/>
            <w:vAlign w:val="top"/>
          </w:tcPr>
          <w:p>
            <w:r>
              <w:rPr>
                <w:rFonts w:ascii="Times New Roman" w:hAnsi="Times New Roman"/>
                <w:sz w:val="13"/>
              </w:rPr>
              <w:t>New knowledge needs authority</w:t>
            </w:r>
          </w:p>
        </w:tc>
        <w:tc>
          <w:tcPr>
            <w:tcW w:type="dxa" w:w="2078"/>
            <w:vAlign w:val="top"/>
          </w:tcPr>
          <w:p>
            <w:r>
              <w:rPr>
                <w:rFonts w:ascii="Times New Roman" w:hAnsi="Times New Roman"/>
                <w:sz w:val="13"/>
              </w:rPr>
              <w:t>Cross-purpose correlation separately justified</w:t>
            </w:r>
          </w:p>
        </w:tc>
        <w:tc>
          <w:tcPr>
            <w:tcW w:type="dxa" w:w="2078"/>
            <w:vAlign w:val="top"/>
          </w:tcPr>
          <w:p>
            <w:r>
              <w:rPr>
                <w:rFonts w:ascii="Times New Roman" w:hAnsi="Times New Roman"/>
                <w:sz w:val="13"/>
              </w:rPr>
              <w:t>PDTA §§3,11</w:t>
            </w:r>
          </w:p>
        </w:tc>
        <w:tc>
          <w:tcPr>
            <w:tcW w:type="dxa" w:w="2078"/>
            <w:vAlign w:val="top"/>
          </w:tcPr>
          <w:p>
            <w:r>
              <w:rPr>
                <w:rFonts w:ascii="Times New Roman" w:hAnsi="Times New Roman"/>
                <w:sz w:val="13"/>
              </w:rPr>
              <w:t>CF-14</w:t>
            </w:r>
          </w:p>
        </w:tc>
        <w:tc>
          <w:tcPr>
            <w:tcW w:type="dxa" w:w="2078"/>
            <w:vAlign w:val="top"/>
          </w:tcPr>
          <w:p>
            <w:r>
              <w:rPr>
                <w:rFonts w:ascii="Times New Roman" w:hAnsi="Times New Roman"/>
                <w:sz w:val="13"/>
              </w:rPr>
              <w:t>Burden/remedies</w:t>
            </w:r>
          </w:p>
        </w:tc>
      </w:tr>
      <w:tr>
        <w:tc>
          <w:tcPr>
            <w:tcW w:type="dxa" w:w="2078"/>
            <w:vAlign w:val="top"/>
          </w:tcPr>
          <w:p>
            <w:r>
              <w:rPr>
                <w:rFonts w:ascii="Times New Roman" w:hAnsi="Times New Roman"/>
                <w:sz w:val="13"/>
              </w:rPr>
              <w:t>T-22</w:t>
            </w:r>
          </w:p>
        </w:tc>
        <w:tc>
          <w:tcPr>
            <w:tcW w:type="dxa" w:w="2078"/>
            <w:vAlign w:val="top"/>
          </w:tcPr>
          <w:p>
            <w:r>
              <w:rPr>
                <w:rFonts w:ascii="Times New Roman" w:hAnsi="Times New Roman"/>
                <w:sz w:val="13"/>
              </w:rPr>
              <w:t>Material Derived Inference</w:t>
            </w:r>
          </w:p>
        </w:tc>
        <w:tc>
          <w:tcPr>
            <w:tcW w:type="dxa" w:w="2078"/>
            <w:vAlign w:val="top"/>
          </w:tcPr>
          <w:p>
            <w:r>
              <w:rPr>
                <w:rFonts w:ascii="Times New Roman" w:hAnsi="Times New Roman"/>
                <w:sz w:val="13"/>
              </w:rPr>
              <w:t>Inference is new artifact</w:t>
            </w:r>
          </w:p>
        </w:tc>
        <w:tc>
          <w:tcPr>
            <w:tcW w:type="dxa" w:w="2078"/>
            <w:vAlign w:val="top"/>
          </w:tcPr>
          <w:p>
            <w:r>
              <w:rPr>
                <w:rFonts w:ascii="Times New Roman" w:hAnsi="Times New Roman"/>
                <w:sz w:val="13"/>
              </w:rPr>
              <w:t>Inference requires sufficient authority/provenance</w:t>
            </w:r>
          </w:p>
        </w:tc>
        <w:tc>
          <w:tcPr>
            <w:tcW w:type="dxa" w:w="2078"/>
            <w:vAlign w:val="top"/>
          </w:tcPr>
          <w:p>
            <w:r>
              <w:rPr>
                <w:rFonts w:ascii="Times New Roman" w:hAnsi="Times New Roman"/>
                <w:sz w:val="13"/>
              </w:rPr>
              <w:t>PDTA §§3,11,18; GAAFA §§13-15</w:t>
            </w:r>
          </w:p>
        </w:tc>
        <w:tc>
          <w:tcPr>
            <w:tcW w:type="dxa" w:w="2078"/>
            <w:vAlign w:val="top"/>
          </w:tcPr>
          <w:p>
            <w:r>
              <w:rPr>
                <w:rFonts w:ascii="Times New Roman" w:hAnsi="Times New Roman"/>
                <w:sz w:val="13"/>
              </w:rPr>
              <w:t>CF-15, CF-56</w:t>
            </w:r>
          </w:p>
        </w:tc>
        <w:tc>
          <w:tcPr>
            <w:tcW w:type="dxa" w:w="2078"/>
            <w:vAlign w:val="top"/>
          </w:tcPr>
          <w:p>
            <w:r>
              <w:rPr>
                <w:rFonts w:ascii="Times New Roman" w:hAnsi="Times New Roman"/>
                <w:sz w:val="13"/>
              </w:rPr>
              <w:t>Correction/contest/remedies</w:t>
            </w:r>
          </w:p>
        </w:tc>
      </w:tr>
      <w:tr>
        <w:tc>
          <w:tcPr>
            <w:tcW w:type="dxa" w:w="2078"/>
            <w:vAlign w:val="top"/>
          </w:tcPr>
          <w:p>
            <w:r>
              <w:rPr>
                <w:rFonts w:ascii="Times New Roman" w:hAnsi="Times New Roman"/>
                <w:sz w:val="13"/>
              </w:rPr>
              <w:t>T-23</w:t>
            </w:r>
          </w:p>
        </w:tc>
        <w:tc>
          <w:tcPr>
            <w:tcW w:type="dxa" w:w="2078"/>
            <w:vAlign w:val="top"/>
          </w:tcPr>
          <w:p>
            <w:r>
              <w:rPr>
                <w:rFonts w:ascii="Times New Roman" w:hAnsi="Times New Roman"/>
                <w:sz w:val="13"/>
              </w:rPr>
              <w:t>Interoperability without integration</w:t>
            </w:r>
          </w:p>
        </w:tc>
        <w:tc>
          <w:tcPr>
            <w:tcW w:type="dxa" w:w="2078"/>
            <w:vAlign w:val="top"/>
          </w:tcPr>
          <w:p>
            <w:r>
              <w:rPr>
                <w:rFonts w:ascii="Times New Roman" w:hAnsi="Times New Roman"/>
                <w:sz w:val="13"/>
              </w:rPr>
              <w:t>Transactional exchange</w:t>
            </w:r>
          </w:p>
        </w:tc>
        <w:tc>
          <w:tcPr>
            <w:tcW w:type="dxa" w:w="2078"/>
            <w:vAlign w:val="top"/>
          </w:tcPr>
          <w:p>
            <w:r>
              <w:rPr>
                <w:rFonts w:ascii="Times New Roman" w:hAnsi="Times New Roman"/>
                <w:sz w:val="13"/>
              </w:rPr>
              <w:t>Communication does not create standing access</w:t>
            </w:r>
          </w:p>
        </w:tc>
        <w:tc>
          <w:tcPr>
            <w:tcW w:type="dxa" w:w="2078"/>
            <w:vAlign w:val="top"/>
          </w:tcPr>
          <w:p>
            <w:r>
              <w:rPr>
                <w:rFonts w:ascii="Times New Roman" w:hAnsi="Times New Roman"/>
                <w:sz w:val="13"/>
              </w:rPr>
              <w:t>PDTA §§12,19; VIDA interoperability provisions</w:t>
            </w:r>
          </w:p>
        </w:tc>
        <w:tc>
          <w:tcPr>
            <w:tcW w:type="dxa" w:w="2078"/>
            <w:vAlign w:val="top"/>
          </w:tcPr>
          <w:p>
            <w:r>
              <w:rPr>
                <w:rFonts w:ascii="Times New Roman" w:hAnsi="Times New Roman"/>
                <w:sz w:val="13"/>
              </w:rPr>
              <w:t>CF-22</w:t>
            </w:r>
          </w:p>
        </w:tc>
        <w:tc>
          <w:tcPr>
            <w:tcW w:type="dxa" w:w="2078"/>
            <w:vAlign w:val="top"/>
          </w:tcPr>
          <w:p>
            <w:r>
              <w:rPr>
                <w:rFonts w:ascii="Times New Roman" w:hAnsi="Times New Roman"/>
                <w:sz w:val="13"/>
              </w:rPr>
              <w:t>Conformance</w:t>
            </w:r>
          </w:p>
        </w:tc>
      </w:tr>
      <w:tr>
        <w:tc>
          <w:tcPr>
            <w:tcW w:type="dxa" w:w="2078"/>
            <w:vAlign w:val="top"/>
          </w:tcPr>
          <w:p>
            <w:r>
              <w:rPr>
                <w:rFonts w:ascii="Times New Roman" w:hAnsi="Times New Roman"/>
                <w:sz w:val="13"/>
              </w:rPr>
              <w:t>T-24</w:t>
            </w:r>
          </w:p>
        </w:tc>
        <w:tc>
          <w:tcPr>
            <w:tcW w:type="dxa" w:w="2078"/>
            <w:vAlign w:val="top"/>
          </w:tcPr>
          <w:p>
            <w:r>
              <w:rPr>
                <w:rFonts w:ascii="Times New Roman" w:hAnsi="Times New Roman"/>
                <w:sz w:val="13"/>
              </w:rPr>
              <w:t>Inter-Sovereign Information Boundary</w:t>
            </w:r>
          </w:p>
        </w:tc>
        <w:tc>
          <w:tcPr>
            <w:tcW w:type="dxa" w:w="2078"/>
            <w:vAlign w:val="top"/>
          </w:tcPr>
          <w:p>
            <w:r>
              <w:rPr>
                <w:rFonts w:ascii="Times New Roman" w:hAnsi="Times New Roman"/>
                <w:sz w:val="13"/>
              </w:rPr>
              <w:t>Federalism/authority separation</w:t>
            </w:r>
          </w:p>
        </w:tc>
        <w:tc>
          <w:tcPr>
            <w:tcW w:type="dxa" w:w="2078"/>
            <w:vAlign w:val="top"/>
          </w:tcPr>
          <w:p>
            <w:r>
              <w:rPr>
                <w:rFonts w:ascii="Times New Roman" w:hAnsi="Times New Roman"/>
                <w:sz w:val="13"/>
              </w:rPr>
              <w:t>Each sovereign retains separate authority</w:t>
            </w:r>
          </w:p>
        </w:tc>
        <w:tc>
          <w:tcPr>
            <w:tcW w:type="dxa" w:w="2078"/>
            <w:vAlign w:val="top"/>
          </w:tcPr>
          <w:p>
            <w:r>
              <w:rPr>
                <w:rFonts w:ascii="Times New Roman" w:hAnsi="Times New Roman"/>
                <w:sz w:val="13"/>
              </w:rPr>
              <w:t>PDTA §12</w:t>
            </w:r>
          </w:p>
        </w:tc>
        <w:tc>
          <w:tcPr>
            <w:tcW w:type="dxa" w:w="2078"/>
            <w:vAlign w:val="top"/>
          </w:tcPr>
          <w:p>
            <w:r>
              <w:rPr>
                <w:rFonts w:ascii="Times New Roman" w:hAnsi="Times New Roman"/>
                <w:sz w:val="13"/>
              </w:rPr>
              <w:t>CF-22</w:t>
            </w:r>
          </w:p>
        </w:tc>
        <w:tc>
          <w:tcPr>
            <w:tcW w:type="dxa" w:w="2078"/>
            <w:vAlign w:val="top"/>
          </w:tcPr>
          <w:p>
            <w:r>
              <w:rPr>
                <w:rFonts w:ascii="Times New Roman" w:hAnsi="Times New Roman"/>
                <w:sz w:val="13"/>
              </w:rPr>
              <w:t>Anti-laundering remedies</w:t>
            </w:r>
          </w:p>
        </w:tc>
      </w:tr>
      <w:tr>
        <w:tc>
          <w:tcPr>
            <w:tcW w:type="dxa" w:w="2078"/>
            <w:vAlign w:val="top"/>
          </w:tcPr>
          <w:p>
            <w:r>
              <w:rPr>
                <w:rFonts w:ascii="Times New Roman" w:hAnsi="Times New Roman"/>
                <w:sz w:val="13"/>
              </w:rPr>
              <w:t>T-25</w:t>
            </w:r>
          </w:p>
        </w:tc>
        <w:tc>
          <w:tcPr>
            <w:tcW w:type="dxa" w:w="2078"/>
            <w:vAlign w:val="top"/>
          </w:tcPr>
          <w:p>
            <w:r>
              <w:rPr>
                <w:rFonts w:ascii="Times New Roman" w:hAnsi="Times New Roman"/>
                <w:sz w:val="13"/>
              </w:rPr>
              <w:t>Intergovernmental capability laundering</w:t>
            </w:r>
          </w:p>
        </w:tc>
        <w:tc>
          <w:tcPr>
            <w:tcW w:type="dxa" w:w="2078"/>
            <w:vAlign w:val="top"/>
          </w:tcPr>
          <w:p>
            <w:r>
              <w:rPr>
                <w:rFonts w:ascii="Times New Roman" w:hAnsi="Times New Roman"/>
                <w:sz w:val="13"/>
              </w:rPr>
              <w:t>No authority aggregation</w:t>
            </w:r>
          </w:p>
        </w:tc>
        <w:tc>
          <w:tcPr>
            <w:tcW w:type="dxa" w:w="2078"/>
            <w:vAlign w:val="top"/>
          </w:tcPr>
          <w:p>
            <w:r>
              <w:rPr>
                <w:rFonts w:ascii="Times New Roman" w:hAnsi="Times New Roman"/>
                <w:sz w:val="13"/>
              </w:rPr>
              <w:t>Partner access cannot recreate prohibited power</w:t>
            </w:r>
          </w:p>
        </w:tc>
        <w:tc>
          <w:tcPr>
            <w:tcW w:type="dxa" w:w="2078"/>
            <w:vAlign w:val="top"/>
          </w:tcPr>
          <w:p>
            <w:r>
              <w:rPr>
                <w:rFonts w:ascii="Times New Roman" w:hAnsi="Times New Roman"/>
                <w:sz w:val="13"/>
              </w:rPr>
              <w:t>PDTA §§12,14</w:t>
            </w:r>
          </w:p>
        </w:tc>
        <w:tc>
          <w:tcPr>
            <w:tcW w:type="dxa" w:w="2078"/>
            <w:vAlign w:val="top"/>
          </w:tcPr>
          <w:p>
            <w:r>
              <w:rPr>
                <w:rFonts w:ascii="Times New Roman" w:hAnsi="Times New Roman"/>
                <w:sz w:val="13"/>
              </w:rPr>
              <w:t>CF-23</w:t>
            </w:r>
          </w:p>
        </w:tc>
        <w:tc>
          <w:tcPr>
            <w:tcW w:type="dxa" w:w="2078"/>
            <w:vAlign w:val="top"/>
          </w:tcPr>
          <w:p>
            <w:r>
              <w:rPr>
                <w:rFonts w:ascii="Times New Roman" w:hAnsi="Times New Roman"/>
                <w:sz w:val="13"/>
              </w:rPr>
              <w:t>Structural relief</w:t>
            </w:r>
          </w:p>
        </w:tc>
      </w:tr>
      <w:tr>
        <w:tc>
          <w:tcPr>
            <w:tcW w:type="dxa" w:w="2078"/>
            <w:vAlign w:val="top"/>
          </w:tcPr>
          <w:p>
            <w:r>
              <w:rPr>
                <w:rFonts w:ascii="Times New Roman" w:hAnsi="Times New Roman"/>
                <w:sz w:val="13"/>
              </w:rPr>
              <w:t>T-26</w:t>
            </w:r>
          </w:p>
        </w:tc>
        <w:tc>
          <w:tcPr>
            <w:tcW w:type="dxa" w:w="2078"/>
            <w:vAlign w:val="top"/>
          </w:tcPr>
          <w:p>
            <w:r>
              <w:rPr>
                <w:rFonts w:ascii="Times New Roman" w:hAnsi="Times New Roman"/>
                <w:sz w:val="13"/>
              </w:rPr>
              <w:t>Vendor capability laundering</w:t>
            </w:r>
          </w:p>
        </w:tc>
        <w:tc>
          <w:tcPr>
            <w:tcW w:type="dxa" w:w="2078"/>
            <w:vAlign w:val="top"/>
          </w:tcPr>
          <w:p>
            <w:r>
              <w:rPr>
                <w:rFonts w:ascii="Times New Roman" w:hAnsi="Times New Roman"/>
                <w:sz w:val="13"/>
              </w:rPr>
              <w:t>Nondelegation</w:t>
            </w:r>
          </w:p>
        </w:tc>
        <w:tc>
          <w:tcPr>
            <w:tcW w:type="dxa" w:w="2078"/>
            <w:vAlign w:val="top"/>
          </w:tcPr>
          <w:p>
            <w:r>
              <w:rPr>
                <w:rFonts w:ascii="Times New Roman" w:hAnsi="Times New Roman"/>
                <w:sz w:val="13"/>
              </w:rPr>
              <w:t>Outsourcing cannot enlarge authority</w:t>
            </w:r>
          </w:p>
        </w:tc>
        <w:tc>
          <w:tcPr>
            <w:tcW w:type="dxa" w:w="2078"/>
            <w:vAlign w:val="top"/>
          </w:tcPr>
          <w:p>
            <w:r>
              <w:rPr>
                <w:rFonts w:ascii="Times New Roman" w:hAnsi="Times New Roman"/>
                <w:sz w:val="13"/>
              </w:rPr>
              <w:t>PDTA §§16-17</w:t>
            </w:r>
          </w:p>
        </w:tc>
        <w:tc>
          <w:tcPr>
            <w:tcW w:type="dxa" w:w="2078"/>
            <w:vAlign w:val="top"/>
          </w:tcPr>
          <w:p>
            <w:r>
              <w:rPr>
                <w:rFonts w:ascii="Times New Roman" w:hAnsi="Times New Roman"/>
                <w:sz w:val="13"/>
              </w:rPr>
              <w:t>CF-24</w:t>
            </w:r>
          </w:p>
        </w:tc>
        <w:tc>
          <w:tcPr>
            <w:tcW w:type="dxa" w:w="2078"/>
            <w:vAlign w:val="top"/>
          </w:tcPr>
          <w:p>
            <w:r>
              <w:rPr>
                <w:rFonts w:ascii="Times New Roman" w:hAnsi="Times New Roman"/>
                <w:sz w:val="13"/>
              </w:rPr>
              <w:t>Vendor/government liability</w:t>
            </w:r>
          </w:p>
        </w:tc>
      </w:tr>
      <w:tr>
        <w:tc>
          <w:tcPr>
            <w:tcW w:type="dxa" w:w="2078"/>
            <w:vAlign w:val="top"/>
          </w:tcPr>
          <w:p>
            <w:r>
              <w:rPr>
                <w:rFonts w:ascii="Times New Roman" w:hAnsi="Times New Roman"/>
                <w:sz w:val="13"/>
              </w:rPr>
              <w:t>T-27</w:t>
            </w:r>
          </w:p>
        </w:tc>
        <w:tc>
          <w:tcPr>
            <w:tcW w:type="dxa" w:w="2078"/>
            <w:vAlign w:val="top"/>
          </w:tcPr>
          <w:p>
            <w:r>
              <w:rPr>
                <w:rFonts w:ascii="Times New Roman" w:hAnsi="Times New Roman"/>
                <w:sz w:val="13"/>
              </w:rPr>
              <w:t>AI Boundary Inheritance</w:t>
            </w:r>
          </w:p>
        </w:tc>
        <w:tc>
          <w:tcPr>
            <w:tcW w:type="dxa" w:w="2078"/>
            <w:vAlign w:val="top"/>
          </w:tcPr>
          <w:p>
            <w:r>
              <w:rPr>
                <w:rFonts w:ascii="Times New Roman" w:hAnsi="Times New Roman"/>
                <w:sz w:val="13"/>
              </w:rPr>
              <w:t>AI no independent authority</w:t>
            </w:r>
          </w:p>
        </w:tc>
        <w:tc>
          <w:tcPr>
            <w:tcW w:type="dxa" w:w="2078"/>
            <w:vAlign w:val="top"/>
          </w:tcPr>
          <w:p>
            <w:r>
              <w:rPr>
                <w:rFonts w:ascii="Times New Roman" w:hAnsi="Times New Roman"/>
                <w:sz w:val="13"/>
              </w:rPr>
              <w:t>AI inherits human/governmental boundary</w:t>
            </w:r>
          </w:p>
        </w:tc>
        <w:tc>
          <w:tcPr>
            <w:tcW w:type="dxa" w:w="2078"/>
            <w:vAlign w:val="top"/>
          </w:tcPr>
          <w:p>
            <w:r>
              <w:rPr>
                <w:rFonts w:ascii="Times New Roman" w:hAnsi="Times New Roman"/>
                <w:sz w:val="13"/>
              </w:rPr>
              <w:t>GAAFA §§4-6; VIDA §25</w:t>
            </w:r>
          </w:p>
        </w:tc>
        <w:tc>
          <w:tcPr>
            <w:tcW w:type="dxa" w:w="2078"/>
            <w:vAlign w:val="top"/>
          </w:tcPr>
          <w:p>
            <w:r>
              <w:rPr>
                <w:rFonts w:ascii="Times New Roman" w:hAnsi="Times New Roman"/>
                <w:sz w:val="13"/>
              </w:rPr>
              <w:t>CF-16</w:t>
            </w:r>
          </w:p>
        </w:tc>
        <w:tc>
          <w:tcPr>
            <w:tcW w:type="dxa" w:w="2078"/>
            <w:vAlign w:val="top"/>
          </w:tcPr>
          <w:p>
            <w:r>
              <w:rPr>
                <w:rFonts w:ascii="Times New Roman" w:hAnsi="Times New Roman"/>
                <w:sz w:val="13"/>
              </w:rPr>
              <w:t>GAAFA/PDTA remedies</w:t>
            </w:r>
          </w:p>
        </w:tc>
      </w:tr>
      <w:tr>
        <w:tc>
          <w:tcPr>
            <w:tcW w:type="dxa" w:w="2078"/>
            <w:vAlign w:val="top"/>
          </w:tcPr>
          <w:p>
            <w:r>
              <w:rPr>
                <w:rFonts w:ascii="Times New Roman" w:hAnsi="Times New Roman"/>
                <w:sz w:val="13"/>
              </w:rPr>
              <w:t>T-28</w:t>
            </w:r>
          </w:p>
        </w:tc>
        <w:tc>
          <w:tcPr>
            <w:tcW w:type="dxa" w:w="2078"/>
            <w:vAlign w:val="top"/>
          </w:tcPr>
          <w:p>
            <w:r>
              <w:rPr>
                <w:rFonts w:ascii="Times New Roman" w:hAnsi="Times New Roman"/>
                <w:sz w:val="13"/>
              </w:rPr>
              <w:t>Metadata</w:t>
            </w:r>
          </w:p>
        </w:tc>
        <w:tc>
          <w:tcPr>
            <w:tcW w:type="dxa" w:w="2078"/>
            <w:vAlign w:val="top"/>
          </w:tcPr>
          <w:p>
            <w:r>
              <w:rPr>
                <w:rFonts w:ascii="Times New Roman" w:hAnsi="Times New Roman"/>
                <w:sz w:val="13"/>
              </w:rPr>
              <w:t>Capability-based ontology</w:t>
            </w:r>
          </w:p>
        </w:tc>
        <w:tc>
          <w:tcPr>
            <w:tcW w:type="dxa" w:w="2078"/>
            <w:vAlign w:val="top"/>
          </w:tcPr>
          <w:p>
            <w:r>
              <w:rPr>
                <w:rFonts w:ascii="Times New Roman" w:hAnsi="Times New Roman"/>
                <w:sz w:val="13"/>
              </w:rPr>
              <w:t>Metadata governed by reconstructive power</w:t>
            </w:r>
          </w:p>
        </w:tc>
        <w:tc>
          <w:tcPr>
            <w:tcW w:type="dxa" w:w="2078"/>
            <w:vAlign w:val="top"/>
          </w:tcPr>
          <w:p>
            <w:r>
              <w:rPr>
                <w:rFonts w:ascii="Times New Roman" w:hAnsi="Times New Roman"/>
                <w:sz w:val="13"/>
              </w:rPr>
              <w:t>PDTA §19(i); VIDA metadata provisions</w:t>
            </w:r>
          </w:p>
        </w:tc>
        <w:tc>
          <w:tcPr>
            <w:tcW w:type="dxa" w:w="2078"/>
            <w:vAlign w:val="top"/>
          </w:tcPr>
          <w:p>
            <w:r>
              <w:rPr>
                <w:rFonts w:ascii="Times New Roman" w:hAnsi="Times New Roman"/>
                <w:sz w:val="13"/>
              </w:rPr>
              <w:t>CF-26</w:t>
            </w:r>
          </w:p>
        </w:tc>
        <w:tc>
          <w:tcPr>
            <w:tcW w:type="dxa" w:w="2078"/>
            <w:vAlign w:val="top"/>
          </w:tcPr>
          <w:p>
            <w:r>
              <w:rPr>
                <w:rFonts w:ascii="Times New Roman" w:hAnsi="Times New Roman"/>
                <w:sz w:val="13"/>
              </w:rPr>
              <w:t>Conformance</w:t>
            </w:r>
          </w:p>
        </w:tc>
      </w:tr>
      <w:tr>
        <w:tc>
          <w:tcPr>
            <w:tcW w:type="dxa" w:w="2078"/>
            <w:vAlign w:val="top"/>
          </w:tcPr>
          <w:p>
            <w:r>
              <w:rPr>
                <w:rFonts w:ascii="Times New Roman" w:hAnsi="Times New Roman"/>
                <w:sz w:val="13"/>
              </w:rPr>
              <w:t>T-29</w:t>
            </w:r>
          </w:p>
        </w:tc>
        <w:tc>
          <w:tcPr>
            <w:tcW w:type="dxa" w:w="2078"/>
            <w:vAlign w:val="top"/>
          </w:tcPr>
          <w:p>
            <w:r>
              <w:rPr>
                <w:rFonts w:ascii="Times New Roman" w:hAnsi="Times New Roman"/>
                <w:sz w:val="13"/>
              </w:rPr>
              <w:t>AIT anti-recentralization</w:t>
            </w:r>
          </w:p>
        </w:tc>
        <w:tc>
          <w:tcPr>
            <w:tcW w:type="dxa" w:w="2078"/>
            <w:vAlign w:val="top"/>
          </w:tcPr>
          <w:p>
            <w:r>
              <w:rPr>
                <w:rFonts w:ascii="Times New Roman" w:hAnsi="Times New Roman"/>
                <w:sz w:val="13"/>
              </w:rPr>
              <w:t>Trusteeship without substitution</w:t>
            </w:r>
          </w:p>
        </w:tc>
        <w:tc>
          <w:tcPr>
            <w:tcW w:type="dxa" w:w="2078"/>
            <w:vAlign w:val="top"/>
          </w:tcPr>
          <w:p>
            <w:r>
              <w:rPr>
                <w:rFonts w:ascii="Times New Roman" w:hAnsi="Times New Roman"/>
                <w:sz w:val="13"/>
              </w:rPr>
              <w:t>Delegation cannot create new concentration point</w:t>
            </w:r>
          </w:p>
        </w:tc>
        <w:tc>
          <w:tcPr>
            <w:tcW w:type="dxa" w:w="2078"/>
            <w:vAlign w:val="top"/>
          </w:tcPr>
          <w:p>
            <w:r>
              <w:rPr>
                <w:rFonts w:ascii="Times New Roman" w:hAnsi="Times New Roman"/>
                <w:sz w:val="13"/>
              </w:rPr>
              <w:t>PDTA AIT provisions; VIDA wallet/provider provisions</w:t>
            </w:r>
          </w:p>
        </w:tc>
        <w:tc>
          <w:tcPr>
            <w:tcW w:type="dxa" w:w="2078"/>
            <w:vAlign w:val="top"/>
          </w:tcPr>
          <w:p>
            <w:r>
              <w:rPr>
                <w:rFonts w:ascii="Times New Roman" w:hAnsi="Times New Roman"/>
                <w:sz w:val="13"/>
              </w:rPr>
              <w:t>FCGIAS AIT test</w:t>
            </w:r>
          </w:p>
        </w:tc>
        <w:tc>
          <w:tcPr>
            <w:tcW w:type="dxa" w:w="2078"/>
            <w:vAlign w:val="top"/>
          </w:tcPr>
          <w:p>
            <w:r>
              <w:rPr>
                <w:rFonts w:ascii="Times New Roman" w:hAnsi="Times New Roman"/>
                <w:sz w:val="13"/>
              </w:rPr>
              <w:t>Rights/conformance</w:t>
            </w:r>
          </w:p>
        </w:tc>
      </w:tr>
      <w:tr>
        <w:tc>
          <w:tcPr>
            <w:tcW w:type="dxa" w:w="2078"/>
            <w:vAlign w:val="top"/>
          </w:tcPr>
          <w:p>
            <w:r>
              <w:rPr>
                <w:rFonts w:ascii="Times New Roman" w:hAnsi="Times New Roman"/>
                <w:sz w:val="13"/>
              </w:rPr>
              <w:t>T-30</w:t>
            </w:r>
          </w:p>
        </w:tc>
        <w:tc>
          <w:tcPr>
            <w:tcW w:type="dxa" w:w="2078"/>
            <w:vAlign w:val="top"/>
          </w:tcPr>
          <w:p>
            <w:r>
              <w:rPr>
                <w:rFonts w:ascii="Times New Roman" w:hAnsi="Times New Roman"/>
                <w:sz w:val="13"/>
              </w:rPr>
              <w:t>Audit separation</w:t>
            </w:r>
          </w:p>
        </w:tc>
        <w:tc>
          <w:tcPr>
            <w:tcW w:type="dxa" w:w="2078"/>
            <w:vAlign w:val="top"/>
          </w:tcPr>
          <w:p>
            <w:r>
              <w:rPr>
                <w:rFonts w:ascii="Times New Roman" w:hAnsi="Times New Roman"/>
                <w:sz w:val="13"/>
              </w:rPr>
              <w:t>Accountability without Golden Record</w:t>
            </w:r>
          </w:p>
        </w:tc>
        <w:tc>
          <w:tcPr>
            <w:tcW w:type="dxa" w:w="2078"/>
            <w:vAlign w:val="top"/>
          </w:tcPr>
          <w:p>
            <w:r>
              <w:rPr>
                <w:rFonts w:ascii="Times New Roman" w:hAnsi="Times New Roman"/>
                <w:sz w:val="13"/>
              </w:rPr>
              <w:t>Audit access bounded from program access</w:t>
            </w:r>
          </w:p>
        </w:tc>
        <w:tc>
          <w:tcPr>
            <w:tcW w:type="dxa" w:w="2078"/>
            <w:vAlign w:val="top"/>
          </w:tcPr>
          <w:p>
            <w:r>
              <w:rPr>
                <w:rFonts w:ascii="Times New Roman" w:hAnsi="Times New Roman"/>
                <w:sz w:val="13"/>
              </w:rPr>
              <w:t>PDTA §§7,19(j)</w:t>
            </w:r>
          </w:p>
        </w:tc>
        <w:tc>
          <w:tcPr>
            <w:tcW w:type="dxa" w:w="2078"/>
            <w:vAlign w:val="top"/>
          </w:tcPr>
          <w:p>
            <w:r>
              <w:rPr>
                <w:rFonts w:ascii="Times New Roman" w:hAnsi="Times New Roman"/>
                <w:sz w:val="13"/>
              </w:rPr>
              <w:t>CF-27</w:t>
            </w:r>
          </w:p>
        </w:tc>
        <w:tc>
          <w:tcPr>
            <w:tcW w:type="dxa" w:w="2078"/>
            <w:vAlign w:val="top"/>
          </w:tcPr>
          <w:p>
            <w:r>
              <w:rPr>
                <w:rFonts w:ascii="Times New Roman" w:hAnsi="Times New Roman"/>
                <w:sz w:val="13"/>
              </w:rPr>
              <w:t>Oversight</w:t>
            </w:r>
          </w:p>
        </w:tc>
      </w:tr>
      <w:tr>
        <w:tc>
          <w:tcPr>
            <w:tcW w:type="dxa" w:w="2078"/>
            <w:vAlign w:val="top"/>
          </w:tcPr>
          <w:p>
            <w:r>
              <w:rPr>
                <w:rFonts w:ascii="Times New Roman" w:hAnsi="Times New Roman"/>
                <w:sz w:val="13"/>
              </w:rPr>
              <w:t>T-31</w:t>
            </w:r>
          </w:p>
        </w:tc>
        <w:tc>
          <w:tcPr>
            <w:tcW w:type="dxa" w:w="2078"/>
            <w:vAlign w:val="top"/>
          </w:tcPr>
          <w:p>
            <w:r>
              <w:rPr>
                <w:rFonts w:ascii="Times New Roman" w:hAnsi="Times New Roman"/>
                <w:sz w:val="13"/>
              </w:rPr>
              <w:t>Authorized oversight correlation</w:t>
            </w:r>
          </w:p>
        </w:tc>
        <w:tc>
          <w:tcPr>
            <w:tcW w:type="dxa" w:w="2078"/>
            <w:vAlign w:val="top"/>
          </w:tcPr>
          <w:p>
            <w:r>
              <w:rPr>
                <w:rFonts w:ascii="Times New Roman" w:hAnsi="Times New Roman"/>
                <w:sz w:val="13"/>
              </w:rPr>
              <w:t>Transparency/accountability</w:t>
            </w:r>
          </w:p>
        </w:tc>
        <w:tc>
          <w:tcPr>
            <w:tcW w:type="dxa" w:w="2078"/>
            <w:vAlign w:val="top"/>
          </w:tcPr>
          <w:p>
            <w:r>
              <w:rPr>
                <w:rFonts w:ascii="Times New Roman" w:hAnsi="Times New Roman"/>
                <w:sz w:val="13"/>
              </w:rPr>
              <w:t>Cross-domain audit correlation permitted when independently authorized</w:t>
            </w:r>
          </w:p>
        </w:tc>
        <w:tc>
          <w:tcPr>
            <w:tcW w:type="dxa" w:w="2078"/>
            <w:vAlign w:val="top"/>
          </w:tcPr>
          <w:p>
            <w:r>
              <w:rPr>
                <w:rFonts w:ascii="Times New Roman" w:hAnsi="Times New Roman"/>
                <w:sz w:val="13"/>
              </w:rPr>
              <w:t>PDTA §19(j), §19(j-5); GAAFA §38</w:t>
            </w:r>
          </w:p>
        </w:tc>
        <w:tc>
          <w:tcPr>
            <w:tcW w:type="dxa" w:w="2078"/>
            <w:vAlign w:val="top"/>
          </w:tcPr>
          <w:p>
            <w:r>
              <w:rPr>
                <w:rFonts w:ascii="Times New Roman" w:hAnsi="Times New Roman"/>
                <w:sz w:val="13"/>
              </w:rPr>
              <w:t>CF-28</w:t>
            </w:r>
          </w:p>
        </w:tc>
        <w:tc>
          <w:tcPr>
            <w:tcW w:type="dxa" w:w="2078"/>
            <w:vAlign w:val="top"/>
          </w:tcPr>
          <w:p>
            <w:r>
              <w:rPr>
                <w:rFonts w:ascii="Times New Roman" w:hAnsi="Times New Roman"/>
                <w:sz w:val="13"/>
              </w:rPr>
              <w:t>Institutional oversight</w:t>
            </w:r>
          </w:p>
        </w:tc>
      </w:tr>
      <w:tr>
        <w:tc>
          <w:tcPr>
            <w:tcW w:type="dxa" w:w="2078"/>
            <w:vAlign w:val="top"/>
          </w:tcPr>
          <w:p>
            <w:r>
              <w:rPr>
                <w:rFonts w:ascii="Times New Roman" w:hAnsi="Times New Roman"/>
                <w:sz w:val="13"/>
              </w:rPr>
              <w:t>T-32</w:t>
            </w:r>
          </w:p>
        </w:tc>
        <w:tc>
          <w:tcPr>
            <w:tcW w:type="dxa" w:w="2078"/>
            <w:vAlign w:val="top"/>
          </w:tcPr>
          <w:p>
            <w:r>
              <w:rPr>
                <w:rFonts w:ascii="Times New Roman" w:hAnsi="Times New Roman"/>
                <w:sz w:val="13"/>
              </w:rPr>
              <w:t>Preservation distinct from processing</w:t>
            </w:r>
          </w:p>
        </w:tc>
        <w:tc>
          <w:tcPr>
            <w:tcW w:type="dxa" w:w="2078"/>
            <w:vAlign w:val="top"/>
          </w:tcPr>
          <w:p>
            <w:r>
              <w:rPr>
                <w:rFonts w:ascii="Times New Roman" w:hAnsi="Times New Roman"/>
                <w:sz w:val="13"/>
              </w:rPr>
              <w:t>Authority decomposition</w:t>
            </w:r>
          </w:p>
        </w:tc>
        <w:tc>
          <w:tcPr>
            <w:tcW w:type="dxa" w:w="2078"/>
            <w:vAlign w:val="top"/>
          </w:tcPr>
          <w:p>
            <w:r>
              <w:rPr>
                <w:rFonts w:ascii="Times New Roman" w:hAnsi="Times New Roman"/>
                <w:sz w:val="13"/>
              </w:rPr>
              <w:t>Legal hold does not revive operational use</w:t>
            </w:r>
          </w:p>
        </w:tc>
        <w:tc>
          <w:tcPr>
            <w:tcW w:type="dxa" w:w="2078"/>
            <w:vAlign w:val="top"/>
          </w:tcPr>
          <w:p>
            <w:r>
              <w:rPr>
                <w:rFonts w:ascii="Times New Roman" w:hAnsi="Times New Roman"/>
                <w:sz w:val="13"/>
              </w:rPr>
              <w:t>PDTA §18</w:t>
            </w:r>
          </w:p>
        </w:tc>
        <w:tc>
          <w:tcPr>
            <w:tcW w:type="dxa" w:w="2078"/>
            <w:vAlign w:val="top"/>
          </w:tcPr>
          <w:p>
            <w:r>
              <w:rPr>
                <w:rFonts w:ascii="Times New Roman" w:hAnsi="Times New Roman"/>
                <w:sz w:val="13"/>
              </w:rPr>
              <w:t>CF-32</w:t>
            </w:r>
          </w:p>
        </w:tc>
        <w:tc>
          <w:tcPr>
            <w:tcW w:type="dxa" w:w="2078"/>
            <w:vAlign w:val="top"/>
          </w:tcPr>
          <w:p>
            <w:r>
              <w:rPr>
                <w:rFonts w:ascii="Times New Roman" w:hAnsi="Times New Roman"/>
                <w:sz w:val="13"/>
              </w:rPr>
              <w:t>Conformance/remedies</w:t>
            </w:r>
          </w:p>
        </w:tc>
      </w:tr>
      <w:tr>
        <w:tc>
          <w:tcPr>
            <w:tcW w:type="dxa" w:w="2078"/>
            <w:vAlign w:val="top"/>
          </w:tcPr>
          <w:p>
            <w:r>
              <w:rPr>
                <w:rFonts w:ascii="Times New Roman" w:hAnsi="Times New Roman"/>
                <w:sz w:val="13"/>
              </w:rPr>
              <w:t>T-33</w:t>
            </w:r>
          </w:p>
        </w:tc>
        <w:tc>
          <w:tcPr>
            <w:tcW w:type="dxa" w:w="2078"/>
            <w:vAlign w:val="top"/>
          </w:tcPr>
          <w:p>
            <w:r>
              <w:rPr>
                <w:rFonts w:ascii="Times New Roman" w:hAnsi="Times New Roman"/>
                <w:sz w:val="13"/>
              </w:rPr>
              <w:t>Public-record analytical limitation</w:t>
            </w:r>
          </w:p>
        </w:tc>
        <w:tc>
          <w:tcPr>
            <w:tcW w:type="dxa" w:w="2078"/>
            <w:vAlign w:val="top"/>
          </w:tcPr>
          <w:p>
            <w:r>
              <w:rPr>
                <w:rFonts w:ascii="Times New Roman" w:hAnsi="Times New Roman"/>
                <w:sz w:val="13"/>
              </w:rPr>
              <w:t>Public access not analytic authority</w:t>
            </w:r>
          </w:p>
        </w:tc>
        <w:tc>
          <w:tcPr>
            <w:tcW w:type="dxa" w:w="2078"/>
            <w:vAlign w:val="top"/>
          </w:tcPr>
          <w:p>
            <w:r>
              <w:rPr>
                <w:rFonts w:ascii="Times New Roman" w:hAnsi="Times New Roman"/>
                <w:sz w:val="13"/>
              </w:rPr>
              <w:t>Public records do not create generalized government analytics</w:t>
            </w:r>
          </w:p>
        </w:tc>
        <w:tc>
          <w:tcPr>
            <w:tcW w:type="dxa" w:w="2078"/>
            <w:vAlign w:val="top"/>
          </w:tcPr>
          <w:p>
            <w:r>
              <w:rPr>
                <w:rFonts w:ascii="Times New Roman" w:hAnsi="Times New Roman"/>
                <w:sz w:val="13"/>
              </w:rPr>
              <w:t>PDTA §18(f)</w:t>
            </w:r>
          </w:p>
        </w:tc>
        <w:tc>
          <w:tcPr>
            <w:tcW w:type="dxa" w:w="2078"/>
            <w:vAlign w:val="top"/>
          </w:tcPr>
          <w:p>
            <w:r>
              <w:rPr>
                <w:rFonts w:ascii="Times New Roman" w:hAnsi="Times New Roman"/>
                <w:sz w:val="13"/>
              </w:rPr>
              <w:t>CF-25</w:t>
            </w:r>
          </w:p>
        </w:tc>
        <w:tc>
          <w:tcPr>
            <w:tcW w:type="dxa" w:w="2078"/>
            <w:vAlign w:val="top"/>
          </w:tcPr>
          <w:p>
            <w:r>
              <w:rPr>
                <w:rFonts w:ascii="Times New Roman" w:hAnsi="Times New Roman"/>
                <w:sz w:val="13"/>
              </w:rPr>
              <w:t>Conformance</w:t>
            </w:r>
          </w:p>
        </w:tc>
      </w:tr>
      <w:tr>
        <w:tc>
          <w:tcPr>
            <w:tcW w:type="dxa" w:w="2078"/>
            <w:vAlign w:val="top"/>
          </w:tcPr>
          <w:p>
            <w:r>
              <w:rPr>
                <w:rFonts w:ascii="Times New Roman" w:hAnsi="Times New Roman"/>
                <w:sz w:val="13"/>
              </w:rPr>
              <w:t>T-34</w:t>
            </w:r>
          </w:p>
        </w:tc>
        <w:tc>
          <w:tcPr>
            <w:tcW w:type="dxa" w:w="2078"/>
            <w:vAlign w:val="top"/>
          </w:tcPr>
          <w:p>
            <w:r>
              <w:rPr>
                <w:rFonts w:ascii="Times New Roman" w:hAnsi="Times New Roman"/>
                <w:sz w:val="13"/>
              </w:rPr>
              <w:t>Logical, not mandatory physical, sequestration</w:t>
            </w:r>
          </w:p>
        </w:tc>
        <w:tc>
          <w:tcPr>
            <w:tcW w:type="dxa" w:w="2078"/>
            <w:vAlign w:val="top"/>
          </w:tcPr>
          <w:p>
            <w:r>
              <w:rPr>
                <w:rFonts w:ascii="Times New Roman" w:hAnsi="Times New Roman"/>
                <w:sz w:val="13"/>
              </w:rPr>
              <w:t>Technology neutrality</w:t>
            </w:r>
          </w:p>
        </w:tc>
        <w:tc>
          <w:tcPr>
            <w:tcW w:type="dxa" w:w="2078"/>
            <w:vAlign w:val="top"/>
          </w:tcPr>
          <w:p>
            <w:r>
              <w:rPr>
                <w:rFonts w:ascii="Times New Roman" w:hAnsi="Times New Roman"/>
                <w:sz w:val="13"/>
              </w:rPr>
              <w:t>Shared infrastructure may conform if boundaries functional</w:t>
            </w:r>
          </w:p>
        </w:tc>
        <w:tc>
          <w:tcPr>
            <w:tcW w:type="dxa" w:w="2078"/>
            <w:vAlign w:val="top"/>
          </w:tcPr>
          <w:p>
            <w:r>
              <w:rPr>
                <w:rFonts w:ascii="Times New Roman" w:hAnsi="Times New Roman"/>
                <w:sz w:val="13"/>
              </w:rPr>
              <w:t>PDTA §19(c); VIDA §28(d)</w:t>
            </w:r>
          </w:p>
        </w:tc>
        <w:tc>
          <w:tcPr>
            <w:tcW w:type="dxa" w:w="2078"/>
            <w:vAlign w:val="top"/>
          </w:tcPr>
          <w:p>
            <w:r>
              <w:rPr>
                <w:rFonts w:ascii="Times New Roman" w:hAnsi="Times New Roman"/>
                <w:sz w:val="13"/>
              </w:rPr>
              <w:t>FCGIAS architecture test</w:t>
            </w:r>
          </w:p>
        </w:tc>
        <w:tc>
          <w:tcPr>
            <w:tcW w:type="dxa" w:w="2078"/>
            <w:vAlign w:val="top"/>
          </w:tcPr>
          <w:p>
            <w:r>
              <w:rPr>
                <w:rFonts w:ascii="Times New Roman" w:hAnsi="Times New Roman"/>
                <w:sz w:val="13"/>
              </w:rPr>
              <w:t>Conformance</w:t>
            </w:r>
          </w:p>
        </w:tc>
      </w:tr>
      <w:tr>
        <w:tc>
          <w:tcPr>
            <w:tcW w:type="dxa" w:w="2078"/>
            <w:vAlign w:val="top"/>
          </w:tcPr>
          <w:p>
            <w:r>
              <w:rPr>
                <w:rFonts w:ascii="Times New Roman" w:hAnsi="Times New Roman"/>
                <w:sz w:val="13"/>
              </w:rPr>
              <w:t>T-35</w:t>
            </w:r>
          </w:p>
        </w:tc>
        <w:tc>
          <w:tcPr>
            <w:tcW w:type="dxa" w:w="2078"/>
            <w:vAlign w:val="top"/>
          </w:tcPr>
          <w:p>
            <w:r>
              <w:rPr>
                <w:rFonts w:ascii="Times New Roman" w:hAnsi="Times New Roman"/>
                <w:sz w:val="13"/>
              </w:rPr>
              <w:t>No unrestricted administrator</w:t>
            </w:r>
          </w:p>
        </w:tc>
        <w:tc>
          <w:tcPr>
            <w:tcW w:type="dxa" w:w="2078"/>
            <w:vAlign w:val="top"/>
          </w:tcPr>
          <w:p>
            <w:r>
              <w:rPr>
                <w:rFonts w:ascii="Times New Roman" w:hAnsi="Times New Roman"/>
                <w:sz w:val="13"/>
              </w:rPr>
              <w:t>Technical privilege not substantive authority</w:t>
            </w:r>
          </w:p>
        </w:tc>
        <w:tc>
          <w:tcPr>
            <w:tcW w:type="dxa" w:w="2078"/>
            <w:vAlign w:val="top"/>
          </w:tcPr>
          <w:p>
            <w:r>
              <w:rPr>
                <w:rFonts w:ascii="Times New Roman" w:hAnsi="Times New Roman"/>
                <w:sz w:val="13"/>
              </w:rPr>
              <w:t>Admin access segregated and controlled</w:t>
            </w:r>
          </w:p>
        </w:tc>
        <w:tc>
          <w:tcPr>
            <w:tcW w:type="dxa" w:w="2078"/>
            <w:vAlign w:val="top"/>
          </w:tcPr>
          <w:p>
            <w:r>
              <w:rPr>
                <w:rFonts w:ascii="Times New Roman" w:hAnsi="Times New Roman"/>
                <w:sz w:val="13"/>
              </w:rPr>
              <w:t>PDTA §19(g); VIDA admin controls</w:t>
            </w:r>
          </w:p>
        </w:tc>
        <w:tc>
          <w:tcPr>
            <w:tcW w:type="dxa" w:w="2078"/>
            <w:vAlign w:val="top"/>
          </w:tcPr>
          <w:p>
            <w:r>
              <w:rPr>
                <w:rFonts w:ascii="Times New Roman" w:hAnsi="Times New Roman"/>
                <w:sz w:val="13"/>
              </w:rPr>
              <w:t>CF-29</w:t>
            </w:r>
          </w:p>
        </w:tc>
        <w:tc>
          <w:tcPr>
            <w:tcW w:type="dxa" w:w="2078"/>
            <w:vAlign w:val="top"/>
          </w:tcPr>
          <w:p>
            <w:r>
              <w:rPr>
                <w:rFonts w:ascii="Times New Roman" w:hAnsi="Times New Roman"/>
                <w:sz w:val="13"/>
              </w:rPr>
              <w:t>Structural relief</w:t>
            </w:r>
          </w:p>
        </w:tc>
      </w:tr>
      <w:tr>
        <w:tc>
          <w:tcPr>
            <w:tcW w:type="dxa" w:w="2078"/>
            <w:vAlign w:val="top"/>
          </w:tcPr>
          <w:p>
            <w:r>
              <w:rPr>
                <w:rFonts w:ascii="Times New Roman" w:hAnsi="Times New Roman"/>
                <w:sz w:val="13"/>
              </w:rPr>
              <w:t>T-36</w:t>
            </w:r>
          </w:p>
        </w:tc>
        <w:tc>
          <w:tcPr>
            <w:tcW w:type="dxa" w:w="2078"/>
            <w:vAlign w:val="top"/>
          </w:tcPr>
          <w:p>
            <w:r>
              <w:rPr>
                <w:rFonts w:ascii="Times New Roman" w:hAnsi="Times New Roman"/>
                <w:sz w:val="13"/>
              </w:rPr>
              <w:t>Emergency/break-glass</w:t>
            </w:r>
          </w:p>
        </w:tc>
        <w:tc>
          <w:tcPr>
            <w:tcW w:type="dxa" w:w="2078"/>
            <w:vAlign w:val="top"/>
          </w:tcPr>
          <w:p>
            <w:r>
              <w:rPr>
                <w:rFonts w:ascii="Times New Roman" w:hAnsi="Times New Roman"/>
                <w:sz w:val="13"/>
              </w:rPr>
              <w:t>Exceptional power remains exceptional</w:t>
            </w:r>
          </w:p>
        </w:tc>
        <w:tc>
          <w:tcPr>
            <w:tcW w:type="dxa" w:w="2078"/>
            <w:vAlign w:val="top"/>
          </w:tcPr>
          <w:p>
            <w:r>
              <w:rPr>
                <w:rFonts w:ascii="Times New Roman" w:hAnsi="Times New Roman"/>
                <w:sz w:val="13"/>
              </w:rPr>
              <w:t>Invocation-specific bounded exception</w:t>
            </w:r>
          </w:p>
        </w:tc>
        <w:tc>
          <w:tcPr>
            <w:tcW w:type="dxa" w:w="2078"/>
            <w:vAlign w:val="top"/>
          </w:tcPr>
          <w:p>
            <w:r>
              <w:rPr>
                <w:rFonts w:ascii="Times New Roman" w:hAnsi="Times New Roman"/>
                <w:sz w:val="13"/>
              </w:rPr>
              <w:t>PDTA §19(j-1)-§19(j-3); VIDA/GAAFA exception provisions</w:t>
            </w:r>
          </w:p>
        </w:tc>
        <w:tc>
          <w:tcPr>
            <w:tcW w:type="dxa" w:w="2078"/>
            <w:vAlign w:val="top"/>
          </w:tcPr>
          <w:p>
            <w:r>
              <w:rPr>
                <w:rFonts w:ascii="Times New Roman" w:hAnsi="Times New Roman"/>
                <w:sz w:val="13"/>
              </w:rPr>
              <w:t>CF-30</w:t>
            </w:r>
          </w:p>
        </w:tc>
        <w:tc>
          <w:tcPr>
            <w:tcW w:type="dxa" w:w="2078"/>
            <w:vAlign w:val="top"/>
          </w:tcPr>
          <w:p>
            <w:r>
              <w:rPr>
                <w:rFonts w:ascii="Times New Roman" w:hAnsi="Times New Roman"/>
                <w:sz w:val="13"/>
              </w:rPr>
              <w:t>Audit/remediation</w:t>
            </w:r>
          </w:p>
        </w:tc>
      </w:tr>
      <w:tr>
        <w:tc>
          <w:tcPr>
            <w:tcW w:type="dxa" w:w="2078"/>
            <w:vAlign w:val="top"/>
          </w:tcPr>
          <w:p>
            <w:r>
              <w:rPr>
                <w:rFonts w:ascii="Times New Roman" w:hAnsi="Times New Roman"/>
                <w:sz w:val="13"/>
              </w:rPr>
              <w:t>T-37</w:t>
            </w:r>
          </w:p>
        </w:tc>
        <w:tc>
          <w:tcPr>
            <w:tcW w:type="dxa" w:w="2078"/>
            <w:vAlign w:val="top"/>
          </w:tcPr>
          <w:p>
            <w:r>
              <w:rPr>
                <w:rFonts w:ascii="Times New Roman" w:hAnsi="Times New Roman"/>
                <w:sz w:val="13"/>
              </w:rPr>
              <w:t>Recovery current authority</w:t>
            </w:r>
          </w:p>
        </w:tc>
        <w:tc>
          <w:tcPr>
            <w:tcW w:type="dxa" w:w="2078"/>
            <w:vAlign w:val="top"/>
          </w:tcPr>
          <w:p>
            <w:r>
              <w:rPr>
                <w:rFonts w:ascii="Times New Roman" w:hAnsi="Times New Roman"/>
                <w:sz w:val="13"/>
              </w:rPr>
              <w:t>Restoration does not restore expired authority</w:t>
            </w:r>
          </w:p>
        </w:tc>
        <w:tc>
          <w:tcPr>
            <w:tcW w:type="dxa" w:w="2078"/>
            <w:vAlign w:val="top"/>
          </w:tcPr>
          <w:p>
            <w:r>
              <w:rPr>
                <w:rFonts w:ascii="Times New Roman" w:hAnsi="Times New Roman"/>
                <w:sz w:val="13"/>
              </w:rPr>
              <w:t>Recovery reapplies current limits</w:t>
            </w:r>
          </w:p>
        </w:tc>
        <w:tc>
          <w:tcPr>
            <w:tcW w:type="dxa" w:w="2078"/>
            <w:vAlign w:val="top"/>
          </w:tcPr>
          <w:p>
            <w:r>
              <w:rPr>
                <w:rFonts w:ascii="Times New Roman" w:hAnsi="Times New Roman"/>
                <w:sz w:val="13"/>
              </w:rPr>
              <w:t>PDTA §18(h)</w:t>
            </w:r>
          </w:p>
        </w:tc>
        <w:tc>
          <w:tcPr>
            <w:tcW w:type="dxa" w:w="2078"/>
            <w:vAlign w:val="top"/>
          </w:tcPr>
          <w:p>
            <w:r>
              <w:rPr>
                <w:rFonts w:ascii="Times New Roman" w:hAnsi="Times New Roman"/>
                <w:sz w:val="13"/>
              </w:rPr>
              <w:t>CF-31</w:t>
            </w:r>
          </w:p>
        </w:tc>
        <w:tc>
          <w:tcPr>
            <w:tcW w:type="dxa" w:w="2078"/>
            <w:vAlign w:val="top"/>
          </w:tcPr>
          <w:p>
            <w:r>
              <w:rPr>
                <w:rFonts w:ascii="Times New Roman" w:hAnsi="Times New Roman"/>
                <w:sz w:val="13"/>
              </w:rPr>
              <w:t>Conformance</w:t>
            </w:r>
          </w:p>
        </w:tc>
      </w:tr>
      <w:tr>
        <w:tc>
          <w:tcPr>
            <w:tcW w:type="dxa" w:w="2078"/>
            <w:vAlign w:val="top"/>
          </w:tcPr>
          <w:p>
            <w:r>
              <w:rPr>
                <w:rFonts w:ascii="Times New Roman" w:hAnsi="Times New Roman"/>
                <w:sz w:val="13"/>
              </w:rPr>
              <w:t>T-38</w:t>
            </w:r>
          </w:p>
        </w:tc>
        <w:tc>
          <w:tcPr>
            <w:tcW w:type="dxa" w:w="2078"/>
            <w:vAlign w:val="top"/>
          </w:tcPr>
          <w:p>
            <w:r>
              <w:rPr>
                <w:rFonts w:ascii="Times New Roman" w:hAnsi="Times New Roman"/>
                <w:sz w:val="13"/>
              </w:rPr>
              <w:t>Universal identifiers contextual</w:t>
            </w:r>
          </w:p>
        </w:tc>
        <w:tc>
          <w:tcPr>
            <w:tcW w:type="dxa" w:w="2078"/>
            <w:vAlign w:val="top"/>
          </w:tcPr>
          <w:p>
            <w:r>
              <w:rPr>
                <w:rFonts w:ascii="Times New Roman" w:hAnsi="Times New Roman"/>
                <w:sz w:val="13"/>
              </w:rPr>
              <w:t>Identifiers not categorical violation</w:t>
            </w:r>
          </w:p>
        </w:tc>
        <w:tc>
          <w:tcPr>
            <w:tcW w:type="dxa" w:w="2078"/>
            <w:vAlign w:val="top"/>
          </w:tcPr>
          <w:p>
            <w:r>
              <w:rPr>
                <w:rFonts w:ascii="Times New Roman" w:hAnsi="Times New Roman"/>
                <w:sz w:val="13"/>
              </w:rPr>
              <w:t>Assess correlation/friction effect</w:t>
            </w:r>
          </w:p>
        </w:tc>
        <w:tc>
          <w:tcPr>
            <w:tcW w:type="dxa" w:w="2078"/>
            <w:vAlign w:val="top"/>
          </w:tcPr>
          <w:p>
            <w:r>
              <w:rPr>
                <w:rFonts w:ascii="Times New Roman" w:hAnsi="Times New Roman"/>
                <w:sz w:val="13"/>
              </w:rPr>
              <w:t>VIDA identifier provisions</w:t>
            </w:r>
          </w:p>
        </w:tc>
        <w:tc>
          <w:tcPr>
            <w:tcW w:type="dxa" w:w="2078"/>
            <w:vAlign w:val="top"/>
          </w:tcPr>
          <w:p>
            <w:r>
              <w:rPr>
                <w:rFonts w:ascii="Times New Roman" w:hAnsi="Times New Roman"/>
                <w:sz w:val="13"/>
              </w:rPr>
              <w:t>CF-33</w:t>
            </w:r>
          </w:p>
        </w:tc>
        <w:tc>
          <w:tcPr>
            <w:tcW w:type="dxa" w:w="2078"/>
            <w:vAlign w:val="top"/>
          </w:tcPr>
          <w:p>
            <w:r>
              <w:rPr>
                <w:rFonts w:ascii="Times New Roman" w:hAnsi="Times New Roman"/>
                <w:sz w:val="13"/>
              </w:rPr>
              <w:t>Conformance</w:t>
            </w:r>
          </w:p>
        </w:tc>
      </w:tr>
      <w:tr>
        <w:tc>
          <w:tcPr>
            <w:tcW w:type="dxa" w:w="2078"/>
            <w:vAlign w:val="top"/>
          </w:tcPr>
          <w:p>
            <w:r>
              <w:rPr>
                <w:rFonts w:ascii="Times New Roman" w:hAnsi="Times New Roman"/>
                <w:sz w:val="13"/>
              </w:rPr>
              <w:t>T-39</w:t>
            </w:r>
          </w:p>
        </w:tc>
        <w:tc>
          <w:tcPr>
            <w:tcW w:type="dxa" w:w="2078"/>
            <w:vAlign w:val="top"/>
          </w:tcPr>
          <w:p>
            <w:r>
              <w:rPr>
                <w:rFonts w:ascii="Times New Roman" w:hAnsi="Times New Roman"/>
                <w:sz w:val="13"/>
              </w:rPr>
              <w:t>Statistical Commons</w:t>
            </w:r>
          </w:p>
        </w:tc>
        <w:tc>
          <w:tcPr>
            <w:tcW w:type="dxa" w:w="2078"/>
            <w:vAlign w:val="top"/>
          </w:tcPr>
          <w:p>
            <w:r>
              <w:rPr>
                <w:rFonts w:ascii="Times New Roman" w:hAnsi="Times New Roman"/>
                <w:sz w:val="13"/>
              </w:rPr>
              <w:t>Non-individualized information</w:t>
            </w:r>
          </w:p>
        </w:tc>
        <w:tc>
          <w:tcPr>
            <w:tcW w:type="dxa" w:w="2078"/>
            <w:vAlign w:val="top"/>
          </w:tcPr>
          <w:p>
            <w:r>
              <w:rPr>
                <w:rFonts w:ascii="Times New Roman" w:hAnsi="Times New Roman"/>
                <w:sz w:val="13"/>
              </w:rPr>
              <w:t>Statistical status depends on inability to individualize</w:t>
            </w:r>
          </w:p>
        </w:tc>
        <w:tc>
          <w:tcPr>
            <w:tcW w:type="dxa" w:w="2078"/>
            <w:vAlign w:val="top"/>
          </w:tcPr>
          <w:p>
            <w:r>
              <w:rPr>
                <w:rFonts w:ascii="Times New Roman" w:hAnsi="Times New Roman"/>
                <w:sz w:val="13"/>
              </w:rPr>
              <w:t>PDTA §18(k)</w:t>
            </w:r>
          </w:p>
        </w:tc>
        <w:tc>
          <w:tcPr>
            <w:tcW w:type="dxa" w:w="2078"/>
            <w:vAlign w:val="top"/>
          </w:tcPr>
          <w:p>
            <w:r>
              <w:rPr>
                <w:rFonts w:ascii="Times New Roman" w:hAnsi="Times New Roman"/>
                <w:sz w:val="13"/>
              </w:rPr>
              <w:t>CF-35</w:t>
            </w:r>
          </w:p>
        </w:tc>
        <w:tc>
          <w:tcPr>
            <w:tcW w:type="dxa" w:w="2078"/>
            <w:vAlign w:val="top"/>
          </w:tcPr>
          <w:p>
            <w:r>
              <w:rPr>
                <w:rFonts w:ascii="Times New Roman" w:hAnsi="Times New Roman"/>
                <w:sz w:val="13"/>
              </w:rPr>
              <w:t>Reclassification if capability returns</w:t>
            </w:r>
          </w:p>
        </w:tc>
      </w:tr>
      <w:tr>
        <w:tc>
          <w:tcPr>
            <w:tcW w:type="dxa" w:w="2078"/>
            <w:vAlign w:val="top"/>
          </w:tcPr>
          <w:p>
            <w:r>
              <w:rPr>
                <w:rFonts w:ascii="Times New Roman" w:hAnsi="Times New Roman"/>
                <w:sz w:val="13"/>
              </w:rPr>
              <w:t>T-40</w:t>
            </w:r>
          </w:p>
        </w:tc>
        <w:tc>
          <w:tcPr>
            <w:tcW w:type="dxa" w:w="2078"/>
            <w:vAlign w:val="top"/>
          </w:tcPr>
          <w:p>
            <w:r>
              <w:rPr>
                <w:rFonts w:ascii="Times New Roman" w:hAnsi="Times New Roman"/>
                <w:sz w:val="13"/>
              </w:rPr>
              <w:t>Relational Information ontology</w:t>
            </w:r>
          </w:p>
        </w:tc>
        <w:tc>
          <w:tcPr>
            <w:tcW w:type="dxa" w:w="2078"/>
            <w:vAlign w:val="top"/>
          </w:tcPr>
          <w:p>
            <w:r>
              <w:rPr>
                <w:rFonts w:ascii="Times New Roman" w:hAnsi="Times New Roman"/>
                <w:sz w:val="13"/>
              </w:rPr>
              <w:t>Relationships are first-class information</w:t>
            </w:r>
          </w:p>
        </w:tc>
        <w:tc>
          <w:tcPr>
            <w:tcW w:type="dxa" w:w="2078"/>
            <w:vAlign w:val="top"/>
          </w:tcPr>
          <w:p>
            <w:r>
              <w:rPr>
                <w:rFonts w:ascii="Times New Roman" w:hAnsi="Times New Roman"/>
                <w:sz w:val="13"/>
              </w:rPr>
              <w:t>No evasion by relational labeling</w:t>
            </w:r>
          </w:p>
        </w:tc>
        <w:tc>
          <w:tcPr>
            <w:tcW w:type="dxa" w:w="2078"/>
            <w:vAlign w:val="top"/>
          </w:tcPr>
          <w:p>
            <w:r>
              <w:rPr>
                <w:rFonts w:ascii="Times New Roman" w:hAnsi="Times New Roman"/>
                <w:sz w:val="13"/>
              </w:rPr>
              <w:t>PDTA §3(bb), §19(j-4); VIDA §25(d-1); GAAFA relational rule</w:t>
            </w:r>
          </w:p>
        </w:tc>
        <w:tc>
          <w:tcPr>
            <w:tcW w:type="dxa" w:w="2078"/>
            <w:vAlign w:val="top"/>
          </w:tcPr>
          <w:p>
            <w:r>
              <w:rPr>
                <w:rFonts w:ascii="Times New Roman" w:hAnsi="Times New Roman"/>
                <w:sz w:val="13"/>
              </w:rPr>
              <w:t>CF-34</w:t>
            </w:r>
          </w:p>
        </w:tc>
        <w:tc>
          <w:tcPr>
            <w:tcW w:type="dxa" w:w="2078"/>
            <w:vAlign w:val="top"/>
          </w:tcPr>
          <w:p>
            <w:r>
              <w:rPr>
                <w:rFonts w:ascii="Times New Roman" w:hAnsi="Times New Roman"/>
                <w:sz w:val="13"/>
              </w:rPr>
              <w:t>Access/correction/contest/conformance</w:t>
            </w:r>
          </w:p>
        </w:tc>
      </w:tr>
      <w:tr>
        <w:tc>
          <w:tcPr>
            <w:tcW w:type="dxa" w:w="2078"/>
            <w:vAlign w:val="top"/>
          </w:tcPr>
          <w:p>
            <w:r>
              <w:rPr>
                <w:rFonts w:ascii="Times New Roman" w:hAnsi="Times New Roman"/>
                <w:sz w:val="13"/>
              </w:rPr>
              <w:t>T-41</w:t>
            </w:r>
          </w:p>
        </w:tc>
        <w:tc>
          <w:tcPr>
            <w:tcW w:type="dxa" w:w="2078"/>
            <w:vAlign w:val="top"/>
          </w:tcPr>
          <w:p>
            <w:r>
              <w:rPr>
                <w:rFonts w:ascii="Times New Roman" w:hAnsi="Times New Roman"/>
                <w:sz w:val="13"/>
              </w:rPr>
              <w:t>Provenance and contestability</w:t>
            </w:r>
          </w:p>
        </w:tc>
        <w:tc>
          <w:tcPr>
            <w:tcW w:type="dxa" w:w="2078"/>
            <w:vAlign w:val="top"/>
          </w:tcPr>
          <w:p>
            <w:r>
              <w:rPr>
                <w:rFonts w:ascii="Times New Roman" w:hAnsi="Times New Roman"/>
                <w:sz w:val="13"/>
              </w:rPr>
              <w:t>Care/accountability</w:t>
            </w:r>
          </w:p>
        </w:tc>
        <w:tc>
          <w:tcPr>
            <w:tcW w:type="dxa" w:w="2078"/>
            <w:vAlign w:val="top"/>
          </w:tcPr>
          <w:p>
            <w:r>
              <w:rPr>
                <w:rFonts w:ascii="Times New Roman" w:hAnsi="Times New Roman"/>
                <w:sz w:val="13"/>
              </w:rPr>
              <w:t>Material derived facts remain testable</w:t>
            </w:r>
          </w:p>
        </w:tc>
        <w:tc>
          <w:tcPr>
            <w:tcW w:type="dxa" w:w="2078"/>
            <w:vAlign w:val="top"/>
          </w:tcPr>
          <w:p>
            <w:r>
              <w:rPr>
                <w:rFonts w:ascii="Times New Roman" w:hAnsi="Times New Roman"/>
                <w:sz w:val="13"/>
              </w:rPr>
              <w:t>GAAFA §§13-17</w:t>
            </w:r>
          </w:p>
        </w:tc>
        <w:tc>
          <w:tcPr>
            <w:tcW w:type="dxa" w:w="2078"/>
            <w:vAlign w:val="top"/>
          </w:tcPr>
          <w:p>
            <w:r>
              <w:rPr>
                <w:rFonts w:ascii="Times New Roman" w:hAnsi="Times New Roman"/>
                <w:sz w:val="13"/>
              </w:rPr>
              <w:t>CF-17, CF-55, CF-56</w:t>
            </w:r>
          </w:p>
        </w:tc>
        <w:tc>
          <w:tcPr>
            <w:tcW w:type="dxa" w:w="2078"/>
            <w:vAlign w:val="top"/>
          </w:tcPr>
          <w:p>
            <w:r>
              <w:rPr>
                <w:rFonts w:ascii="Times New Roman" w:hAnsi="Times New Roman"/>
                <w:sz w:val="13"/>
              </w:rPr>
              <w:t>Explanation/review/remedies</w:t>
            </w:r>
          </w:p>
        </w:tc>
      </w:tr>
      <w:tr>
        <w:tc>
          <w:tcPr>
            <w:tcW w:type="dxa" w:w="2078"/>
            <w:vAlign w:val="top"/>
          </w:tcPr>
          <w:p>
            <w:r>
              <w:rPr>
                <w:rFonts w:ascii="Times New Roman" w:hAnsi="Times New Roman"/>
                <w:sz w:val="13"/>
              </w:rPr>
              <w:t>T-42</w:t>
            </w:r>
          </w:p>
        </w:tc>
        <w:tc>
          <w:tcPr>
            <w:tcW w:type="dxa" w:w="2078"/>
            <w:vAlign w:val="top"/>
          </w:tcPr>
          <w:p>
            <w:r>
              <w:rPr>
                <w:rFonts w:ascii="Times New Roman" w:hAnsi="Times New Roman"/>
                <w:sz w:val="13"/>
              </w:rPr>
              <w:t>No Convenience Exception</w:t>
            </w:r>
          </w:p>
        </w:tc>
        <w:tc>
          <w:tcPr>
            <w:tcW w:type="dxa" w:w="2078"/>
            <w:vAlign w:val="top"/>
          </w:tcPr>
          <w:p>
            <w:r>
              <w:rPr>
                <w:rFonts w:ascii="Times New Roman" w:hAnsi="Times New Roman"/>
                <w:sz w:val="13"/>
              </w:rPr>
              <w:t>Authority over efficiency</w:t>
            </w:r>
          </w:p>
        </w:tc>
        <w:tc>
          <w:tcPr>
            <w:tcW w:type="dxa" w:w="2078"/>
            <w:vAlign w:val="top"/>
          </w:tcPr>
          <w:p>
            <w:r>
              <w:rPr>
                <w:rFonts w:ascii="Times New Roman" w:hAnsi="Times New Roman"/>
                <w:sz w:val="13"/>
              </w:rPr>
              <w:t>Convenience/cost do not create authority</w:t>
            </w:r>
          </w:p>
        </w:tc>
        <w:tc>
          <w:tcPr>
            <w:tcW w:type="dxa" w:w="2078"/>
            <w:vAlign w:val="top"/>
          </w:tcPr>
          <w:p>
            <w:r>
              <w:rPr>
                <w:rFonts w:ascii="Times New Roman" w:hAnsi="Times New Roman"/>
                <w:sz w:val="13"/>
              </w:rPr>
              <w:t>PDTA purpose/authority provisions</w:t>
            </w:r>
          </w:p>
        </w:tc>
        <w:tc>
          <w:tcPr>
            <w:tcW w:type="dxa" w:w="2078"/>
            <w:vAlign w:val="top"/>
          </w:tcPr>
          <w:p>
            <w:r>
              <w:rPr>
                <w:rFonts w:ascii="Times New Roman" w:hAnsi="Times New Roman"/>
                <w:sz w:val="13"/>
              </w:rPr>
              <w:t>FCGIAS conformance</w:t>
            </w:r>
          </w:p>
        </w:tc>
        <w:tc>
          <w:tcPr>
            <w:tcW w:type="dxa" w:w="2078"/>
            <w:vAlign w:val="top"/>
          </w:tcPr>
          <w:p>
            <w:r>
              <w:rPr>
                <w:rFonts w:ascii="Times New Roman" w:hAnsi="Times New Roman"/>
                <w:sz w:val="13"/>
              </w:rPr>
              <w:t>Burden remains</w:t>
            </w:r>
          </w:p>
        </w:tc>
      </w:tr>
      <w:tr>
        <w:tc>
          <w:tcPr>
            <w:tcW w:type="dxa" w:w="2078"/>
            <w:vAlign w:val="top"/>
          </w:tcPr>
          <w:p>
            <w:r>
              <w:rPr>
                <w:rFonts w:ascii="Times New Roman" w:hAnsi="Times New Roman"/>
                <w:sz w:val="13"/>
              </w:rPr>
              <w:t>T-43</w:t>
            </w:r>
          </w:p>
        </w:tc>
        <w:tc>
          <w:tcPr>
            <w:tcW w:type="dxa" w:w="2078"/>
            <w:vAlign w:val="top"/>
          </w:tcPr>
          <w:p>
            <w:r>
              <w:rPr>
                <w:rFonts w:ascii="Times New Roman" w:hAnsi="Times New Roman"/>
                <w:sz w:val="13"/>
              </w:rPr>
              <w:t>Purpose particularity applies to legislation</w:t>
            </w:r>
          </w:p>
        </w:tc>
        <w:tc>
          <w:tcPr>
            <w:tcW w:type="dxa" w:w="2078"/>
            <w:vAlign w:val="top"/>
          </w:tcPr>
          <w:p>
            <w:r>
              <w:rPr>
                <w:rFonts w:ascii="Times New Roman" w:hAnsi="Times New Roman"/>
                <w:sz w:val="13"/>
              </w:rPr>
              <w:t>Particular authority</w:t>
            </w:r>
          </w:p>
        </w:tc>
        <w:tc>
          <w:tcPr>
            <w:tcW w:type="dxa" w:w="2078"/>
            <w:vAlign w:val="top"/>
          </w:tcPr>
          <w:p>
            <w:r>
              <w:rPr>
                <w:rFonts w:ascii="Times New Roman" w:hAnsi="Times New Roman"/>
                <w:sz w:val="13"/>
              </w:rPr>
              <w:t>Broad statutory labels cannot silently authorize everything</w:t>
            </w:r>
          </w:p>
        </w:tc>
        <w:tc>
          <w:tcPr>
            <w:tcW w:type="dxa" w:w="2078"/>
            <w:vAlign w:val="top"/>
          </w:tcPr>
          <w:p>
            <w:r>
              <w:rPr>
                <w:rFonts w:ascii="Times New Roman" w:hAnsi="Times New Roman"/>
                <w:sz w:val="13"/>
              </w:rPr>
              <w:t>PDTA §10</w:t>
            </w:r>
          </w:p>
        </w:tc>
        <w:tc>
          <w:tcPr>
            <w:tcW w:type="dxa" w:w="2078"/>
            <w:vAlign w:val="top"/>
          </w:tcPr>
          <w:p>
            <w:r>
              <w:rPr>
                <w:rFonts w:ascii="Times New Roman" w:hAnsi="Times New Roman"/>
                <w:sz w:val="13"/>
              </w:rPr>
              <w:t>CF-04</w:t>
            </w:r>
          </w:p>
        </w:tc>
        <w:tc>
          <w:tcPr>
            <w:tcW w:type="dxa" w:w="2078"/>
            <w:vAlign w:val="top"/>
          </w:tcPr>
          <w:p>
            <w:r>
              <w:rPr>
                <w:rFonts w:ascii="Times New Roman" w:hAnsi="Times New Roman"/>
                <w:sz w:val="13"/>
              </w:rPr>
              <w:t>Judicial/DTA interpretation</w:t>
            </w:r>
          </w:p>
        </w:tc>
      </w:tr>
      <w:tr>
        <w:tc>
          <w:tcPr>
            <w:tcW w:type="dxa" w:w="2078"/>
            <w:vAlign w:val="top"/>
          </w:tcPr>
          <w:p>
            <w:r>
              <w:rPr>
                <w:rFonts w:ascii="Times New Roman" w:hAnsi="Times New Roman"/>
                <w:sz w:val="13"/>
              </w:rPr>
              <w:t>T-44</w:t>
            </w:r>
          </w:p>
        </w:tc>
        <w:tc>
          <w:tcPr>
            <w:tcW w:type="dxa" w:w="2078"/>
            <w:vAlign w:val="top"/>
          </w:tcPr>
          <w:p>
            <w:r>
              <w:rPr>
                <w:rFonts w:ascii="Times New Roman" w:hAnsi="Times New Roman"/>
                <w:sz w:val="13"/>
              </w:rPr>
              <w:t>Constitutional authorization function</w:t>
            </w:r>
          </w:p>
        </w:tc>
        <w:tc>
          <w:tcPr>
            <w:tcW w:type="dxa" w:w="2078"/>
            <w:vAlign w:val="top"/>
          </w:tcPr>
          <w:p>
            <w:r>
              <w:rPr>
                <w:rFonts w:ascii="Times New Roman" w:hAnsi="Times New Roman"/>
                <w:sz w:val="13"/>
              </w:rPr>
              <w:t>D1-D4 calibration</w:t>
            </w:r>
          </w:p>
        </w:tc>
        <w:tc>
          <w:tcPr>
            <w:tcW w:type="dxa" w:w="2078"/>
            <w:vAlign w:val="top"/>
          </w:tcPr>
          <w:p>
            <w:r>
              <w:rPr>
                <w:rFonts w:ascii="Times New Roman" w:hAnsi="Times New Roman"/>
                <w:sz w:val="13"/>
              </w:rPr>
              <w:t>Legal authorization form follows governing regime</w:t>
            </w:r>
          </w:p>
        </w:tc>
        <w:tc>
          <w:tcPr>
            <w:tcW w:type="dxa" w:w="2078"/>
            <w:vAlign w:val="top"/>
          </w:tcPr>
          <w:p>
            <w:r>
              <w:rPr>
                <w:rFonts w:ascii="Times New Roman" w:hAnsi="Times New Roman"/>
                <w:sz w:val="13"/>
              </w:rPr>
              <w:t>PDTA Materially Renewed Authorization definition</w:t>
            </w:r>
          </w:p>
        </w:tc>
        <w:tc>
          <w:tcPr>
            <w:tcW w:type="dxa" w:w="2078"/>
            <w:vAlign w:val="top"/>
          </w:tcPr>
          <w:p>
            <w:r>
              <w:rPr>
                <w:rFonts w:ascii="Times New Roman" w:hAnsi="Times New Roman"/>
                <w:sz w:val="13"/>
              </w:rPr>
              <w:t>CF-12</w:t>
            </w:r>
          </w:p>
        </w:tc>
        <w:tc>
          <w:tcPr>
            <w:tcW w:type="dxa" w:w="2078"/>
            <w:vAlign w:val="top"/>
          </w:tcPr>
          <w:p>
            <w:r>
              <w:rPr>
                <w:rFonts w:ascii="Times New Roman" w:hAnsi="Times New Roman"/>
                <w:sz w:val="13"/>
              </w:rPr>
              <w:t>Applicable legal review</w:t>
            </w:r>
          </w:p>
        </w:tc>
      </w:tr>
      <w:tr>
        <w:tc>
          <w:tcPr>
            <w:tcW w:type="dxa" w:w="2078"/>
            <w:vAlign w:val="top"/>
          </w:tcPr>
          <w:p>
            <w:r>
              <w:rPr>
                <w:rFonts w:ascii="Times New Roman" w:hAnsi="Times New Roman"/>
                <w:sz w:val="13"/>
              </w:rPr>
              <w:t>T-45</w:t>
            </w:r>
          </w:p>
        </w:tc>
        <w:tc>
          <w:tcPr>
            <w:tcW w:type="dxa" w:w="2078"/>
            <w:vAlign w:val="top"/>
          </w:tcPr>
          <w:p>
            <w:r>
              <w:rPr>
                <w:rFonts w:ascii="Times New Roman" w:hAnsi="Times New Roman"/>
                <w:sz w:val="13"/>
              </w:rPr>
              <w:t>Federated authorization permitted</w:t>
            </w:r>
          </w:p>
        </w:tc>
        <w:tc>
          <w:tcPr>
            <w:tcW w:type="dxa" w:w="2078"/>
            <w:vAlign w:val="top"/>
          </w:tcPr>
          <w:p>
            <w:r>
              <w:rPr>
                <w:rFonts w:ascii="Times New Roman" w:hAnsi="Times New Roman"/>
                <w:sz w:val="13"/>
              </w:rPr>
              <w:t>Technology neutrality</w:t>
            </w:r>
          </w:p>
        </w:tc>
        <w:tc>
          <w:tcPr>
            <w:tcW w:type="dxa" w:w="2078"/>
            <w:vAlign w:val="top"/>
          </w:tcPr>
          <w:p>
            <w:r>
              <w:rPr>
                <w:rFonts w:ascii="Times New Roman" w:hAnsi="Times New Roman"/>
                <w:sz w:val="13"/>
              </w:rPr>
              <w:t>Authorization need not centralize metadata</w:t>
            </w:r>
          </w:p>
        </w:tc>
        <w:tc>
          <w:tcPr>
            <w:tcW w:type="dxa" w:w="2078"/>
            <w:vAlign w:val="top"/>
          </w:tcPr>
          <w:p>
            <w:r>
              <w:rPr>
                <w:rFonts w:ascii="Times New Roman" w:hAnsi="Times New Roman"/>
                <w:sz w:val="13"/>
              </w:rPr>
              <w:t>PDTA §19(e)-(f)</w:t>
            </w:r>
          </w:p>
        </w:tc>
        <w:tc>
          <w:tcPr>
            <w:tcW w:type="dxa" w:w="2078"/>
            <w:vAlign w:val="top"/>
          </w:tcPr>
          <w:p>
            <w:r>
              <w:rPr>
                <w:rFonts w:ascii="Times New Roman" w:hAnsi="Times New Roman"/>
                <w:sz w:val="13"/>
              </w:rPr>
              <w:t>CF-12, CF-26</w:t>
            </w:r>
          </w:p>
        </w:tc>
        <w:tc>
          <w:tcPr>
            <w:tcW w:type="dxa" w:w="2078"/>
            <w:vAlign w:val="top"/>
          </w:tcPr>
          <w:p>
            <w:r>
              <w:rPr>
                <w:rFonts w:ascii="Times New Roman" w:hAnsi="Times New Roman"/>
                <w:sz w:val="13"/>
              </w:rPr>
              <w:t>Conformance</w:t>
            </w:r>
          </w:p>
        </w:tc>
      </w:tr>
      <w:tr>
        <w:tc>
          <w:tcPr>
            <w:tcW w:type="dxa" w:w="2078"/>
            <w:vAlign w:val="top"/>
          </w:tcPr>
          <w:p>
            <w:r>
              <w:rPr>
                <w:rFonts w:ascii="Times New Roman" w:hAnsi="Times New Roman"/>
                <w:sz w:val="13"/>
              </w:rPr>
              <w:t>T-46</w:t>
            </w:r>
          </w:p>
        </w:tc>
        <w:tc>
          <w:tcPr>
            <w:tcW w:type="dxa" w:w="2078"/>
            <w:vAlign w:val="top"/>
          </w:tcPr>
          <w:p>
            <w:r>
              <w:rPr>
                <w:rFonts w:ascii="Times New Roman" w:hAnsi="Times New Roman"/>
                <w:sz w:val="13"/>
              </w:rPr>
              <w:t>Authorization metadata minimization</w:t>
            </w:r>
          </w:p>
        </w:tc>
        <w:tc>
          <w:tcPr>
            <w:tcW w:type="dxa" w:w="2078"/>
            <w:vAlign w:val="top"/>
          </w:tcPr>
          <w:p>
            <w:r>
              <w:rPr>
                <w:rFonts w:ascii="Times New Roman" w:hAnsi="Times New Roman"/>
                <w:sz w:val="13"/>
              </w:rPr>
              <w:t>Confidentiality</w:t>
            </w:r>
          </w:p>
        </w:tc>
        <w:tc>
          <w:tcPr>
            <w:tcW w:type="dxa" w:w="2078"/>
            <w:vAlign w:val="top"/>
          </w:tcPr>
          <w:p>
            <w:r>
              <w:rPr>
                <w:rFonts w:ascii="Times New Roman" w:hAnsi="Times New Roman"/>
                <w:sz w:val="13"/>
              </w:rPr>
              <w:t>Authorization fabric cannot become surveillance layer</w:t>
            </w:r>
          </w:p>
        </w:tc>
        <w:tc>
          <w:tcPr>
            <w:tcW w:type="dxa" w:w="2078"/>
            <w:vAlign w:val="top"/>
          </w:tcPr>
          <w:p>
            <w:r>
              <w:rPr>
                <w:rFonts w:ascii="Times New Roman" w:hAnsi="Times New Roman"/>
                <w:sz w:val="13"/>
              </w:rPr>
              <w:t>PDTA §19(f)</w:t>
            </w:r>
          </w:p>
        </w:tc>
        <w:tc>
          <w:tcPr>
            <w:tcW w:type="dxa" w:w="2078"/>
            <w:vAlign w:val="top"/>
          </w:tcPr>
          <w:p>
            <w:r>
              <w:rPr>
                <w:rFonts w:ascii="Times New Roman" w:hAnsi="Times New Roman"/>
                <w:sz w:val="13"/>
              </w:rPr>
              <w:t>CF-26</w:t>
            </w:r>
          </w:p>
        </w:tc>
        <w:tc>
          <w:tcPr>
            <w:tcW w:type="dxa" w:w="2078"/>
            <w:vAlign w:val="top"/>
          </w:tcPr>
          <w:p>
            <w:r>
              <w:rPr>
                <w:rFonts w:ascii="Times New Roman" w:hAnsi="Times New Roman"/>
                <w:sz w:val="13"/>
              </w:rPr>
              <w:t>Conformance</w:t>
            </w:r>
          </w:p>
        </w:tc>
      </w:tr>
      <w:tr>
        <w:tc>
          <w:tcPr>
            <w:tcW w:type="dxa" w:w="2078"/>
            <w:vAlign w:val="top"/>
          </w:tcPr>
          <w:p>
            <w:r>
              <w:rPr>
                <w:rFonts w:ascii="Times New Roman" w:hAnsi="Times New Roman"/>
                <w:sz w:val="13"/>
              </w:rPr>
              <w:t>T-47</w:t>
            </w:r>
          </w:p>
        </w:tc>
        <w:tc>
          <w:tcPr>
            <w:tcW w:type="dxa" w:w="2078"/>
            <w:vAlign w:val="top"/>
          </w:tcPr>
          <w:p>
            <w:r>
              <w:rPr>
                <w:rFonts w:ascii="Times New Roman" w:hAnsi="Times New Roman"/>
                <w:sz w:val="13"/>
              </w:rPr>
              <w:t>Negative capability testing</w:t>
            </w:r>
          </w:p>
        </w:tc>
        <w:tc>
          <w:tcPr>
            <w:tcW w:type="dxa" w:w="2078"/>
            <w:vAlign w:val="top"/>
          </w:tcPr>
          <w:p>
            <w:r>
              <w:rPr>
                <w:rFonts w:ascii="Times New Roman" w:hAnsi="Times New Roman"/>
                <w:sz w:val="13"/>
              </w:rPr>
              <w:t>Structural enforcement</w:t>
            </w:r>
          </w:p>
        </w:tc>
        <w:tc>
          <w:tcPr>
            <w:tcW w:type="dxa" w:w="2078"/>
            <w:vAlign w:val="top"/>
          </w:tcPr>
          <w:p>
            <w:r>
              <w:rPr>
                <w:rFonts w:ascii="Times New Roman" w:hAnsi="Times New Roman"/>
                <w:sz w:val="13"/>
              </w:rPr>
              <w:t>Test what government cannot know</w:t>
            </w:r>
          </w:p>
        </w:tc>
        <w:tc>
          <w:tcPr>
            <w:tcW w:type="dxa" w:w="2078"/>
            <w:vAlign w:val="top"/>
          </w:tcPr>
          <w:p>
            <w:r>
              <w:rPr>
                <w:rFonts w:ascii="Times New Roman" w:hAnsi="Times New Roman"/>
                <w:sz w:val="13"/>
              </w:rPr>
              <w:t>PDTA §19(l); VIDA §28(g)</w:t>
            </w:r>
          </w:p>
        </w:tc>
        <w:tc>
          <w:tcPr>
            <w:tcW w:type="dxa" w:w="2078"/>
            <w:vAlign w:val="top"/>
          </w:tcPr>
          <w:p>
            <w:r>
              <w:rPr>
                <w:rFonts w:ascii="Times New Roman" w:hAnsi="Times New Roman"/>
                <w:sz w:val="13"/>
              </w:rPr>
              <w:t>CF-38</w:t>
            </w:r>
          </w:p>
        </w:tc>
        <w:tc>
          <w:tcPr>
            <w:tcW w:type="dxa" w:w="2078"/>
            <w:vAlign w:val="top"/>
          </w:tcPr>
          <w:p>
            <w:r>
              <w:rPr>
                <w:rFonts w:ascii="Times New Roman" w:hAnsi="Times New Roman"/>
                <w:sz w:val="13"/>
              </w:rPr>
              <w:t>DTA testing</w:t>
            </w:r>
          </w:p>
        </w:tc>
      </w:tr>
      <w:tr>
        <w:tc>
          <w:tcPr>
            <w:tcW w:type="dxa" w:w="2078"/>
            <w:vAlign w:val="top"/>
          </w:tcPr>
          <w:p>
            <w:r>
              <w:rPr>
                <w:rFonts w:ascii="Times New Roman" w:hAnsi="Times New Roman"/>
                <w:sz w:val="13"/>
              </w:rPr>
              <w:t>T-48</w:t>
            </w:r>
          </w:p>
        </w:tc>
        <w:tc>
          <w:tcPr>
            <w:tcW w:type="dxa" w:w="2078"/>
            <w:vAlign w:val="top"/>
          </w:tcPr>
          <w:p>
            <w:r>
              <w:rPr>
                <w:rFonts w:ascii="Times New Roman" w:hAnsi="Times New Roman"/>
                <w:sz w:val="13"/>
              </w:rPr>
              <w:t>Master red-team reconstruction</w:t>
            </w:r>
          </w:p>
        </w:tc>
        <w:tc>
          <w:tcPr>
            <w:tcW w:type="dxa" w:w="2078"/>
            <w:vAlign w:val="top"/>
          </w:tcPr>
          <w:p>
            <w:r>
              <w:rPr>
                <w:rFonts w:ascii="Times New Roman" w:hAnsi="Times New Roman"/>
                <w:sz w:val="13"/>
              </w:rPr>
              <w:t>Adversarial ACΔ</w:t>
            </w:r>
          </w:p>
        </w:tc>
        <w:tc>
          <w:tcPr>
            <w:tcW w:type="dxa" w:w="2078"/>
            <w:vAlign w:val="top"/>
          </w:tcPr>
          <w:p>
            <w:r>
              <w:rPr>
                <w:rFonts w:ascii="Times New Roman" w:hAnsi="Times New Roman"/>
                <w:sz w:val="13"/>
              </w:rPr>
              <w:t>Attempt profile construction using standing permissions</w:t>
            </w:r>
          </w:p>
        </w:tc>
        <w:tc>
          <w:tcPr>
            <w:tcW w:type="dxa" w:w="2078"/>
            <w:vAlign w:val="top"/>
          </w:tcPr>
          <w:p>
            <w:r>
              <w:rPr>
                <w:rFonts w:ascii="Times New Roman" w:hAnsi="Times New Roman"/>
                <w:sz w:val="13"/>
              </w:rPr>
              <w:t>PDTA conformance; Trilogy Code</w:t>
            </w:r>
          </w:p>
        </w:tc>
        <w:tc>
          <w:tcPr>
            <w:tcW w:type="dxa" w:w="2078"/>
            <w:vAlign w:val="top"/>
          </w:tcPr>
          <w:p>
            <w:r>
              <w:rPr>
                <w:rFonts w:ascii="Times New Roman" w:hAnsi="Times New Roman"/>
                <w:sz w:val="13"/>
              </w:rPr>
              <w:t>CF-39</w:t>
            </w:r>
          </w:p>
        </w:tc>
        <w:tc>
          <w:tcPr>
            <w:tcW w:type="dxa" w:w="2078"/>
            <w:vAlign w:val="top"/>
          </w:tcPr>
          <w:p>
            <w:r>
              <w:rPr>
                <w:rFonts w:ascii="Times New Roman" w:hAnsi="Times New Roman"/>
                <w:sz w:val="13"/>
              </w:rPr>
              <w:t>Structural conformance</w:t>
            </w:r>
          </w:p>
        </w:tc>
      </w:tr>
      <w:tr>
        <w:tc>
          <w:tcPr>
            <w:tcW w:type="dxa" w:w="2078"/>
            <w:vAlign w:val="top"/>
          </w:tcPr>
          <w:p>
            <w:r>
              <w:rPr>
                <w:rFonts w:ascii="Times New Roman" w:hAnsi="Times New Roman"/>
                <w:sz w:val="13"/>
              </w:rPr>
              <w:t>T-49</w:t>
            </w:r>
          </w:p>
        </w:tc>
        <w:tc>
          <w:tcPr>
            <w:tcW w:type="dxa" w:w="2078"/>
            <w:vAlign w:val="top"/>
          </w:tcPr>
          <w:p>
            <w:r>
              <w:rPr>
                <w:rFonts w:ascii="Times New Roman" w:hAnsi="Times New Roman"/>
                <w:sz w:val="13"/>
              </w:rPr>
              <w:t>Non-score structural conformance</w:t>
            </w:r>
          </w:p>
        </w:tc>
        <w:tc>
          <w:tcPr>
            <w:tcW w:type="dxa" w:w="2078"/>
            <w:vAlign w:val="top"/>
          </w:tcPr>
          <w:p>
            <w:r>
              <w:rPr>
                <w:rFonts w:ascii="Times New Roman" w:hAnsi="Times New Roman"/>
                <w:sz w:val="13"/>
              </w:rPr>
              <w:t>Non-compensability</w:t>
            </w:r>
          </w:p>
        </w:tc>
        <w:tc>
          <w:tcPr>
            <w:tcW w:type="dxa" w:w="2078"/>
            <w:vAlign w:val="top"/>
          </w:tcPr>
          <w:p>
            <w:r>
              <w:rPr>
                <w:rFonts w:ascii="Times New Roman" w:hAnsi="Times New Roman"/>
                <w:sz w:val="13"/>
              </w:rPr>
              <w:t>Logging/encryption cannot offset prohibited capability</w:t>
            </w:r>
          </w:p>
        </w:tc>
        <w:tc>
          <w:tcPr>
            <w:tcW w:type="dxa" w:w="2078"/>
            <w:vAlign w:val="top"/>
          </w:tcPr>
          <w:p>
            <w:r>
              <w:rPr>
                <w:rFonts w:ascii="Times New Roman" w:hAnsi="Times New Roman"/>
                <w:sz w:val="13"/>
              </w:rPr>
              <w:t>PDTA §19(m); GAAFA §35(e)</w:t>
            </w:r>
          </w:p>
        </w:tc>
        <w:tc>
          <w:tcPr>
            <w:tcW w:type="dxa" w:w="2078"/>
            <w:vAlign w:val="top"/>
          </w:tcPr>
          <w:p>
            <w:r>
              <w:rPr>
                <w:rFonts w:ascii="Times New Roman" w:hAnsi="Times New Roman"/>
                <w:sz w:val="13"/>
              </w:rPr>
              <w:t>Structural disqualifiers</w:t>
            </w:r>
          </w:p>
        </w:tc>
        <w:tc>
          <w:tcPr>
            <w:tcW w:type="dxa" w:w="2078"/>
            <w:vAlign w:val="top"/>
          </w:tcPr>
          <w:p>
            <w:r>
              <w:rPr>
                <w:rFonts w:ascii="Times New Roman" w:hAnsi="Times New Roman"/>
                <w:sz w:val="13"/>
              </w:rPr>
              <w:t>Fail/structural remedy</w:t>
            </w:r>
          </w:p>
        </w:tc>
      </w:tr>
      <w:tr>
        <w:tc>
          <w:tcPr>
            <w:tcW w:type="dxa" w:w="2078"/>
            <w:vAlign w:val="top"/>
          </w:tcPr>
          <w:p>
            <w:r>
              <w:rPr>
                <w:rFonts w:ascii="Times New Roman" w:hAnsi="Times New Roman"/>
                <w:sz w:val="13"/>
              </w:rPr>
              <w:t>T-50</w:t>
            </w:r>
          </w:p>
        </w:tc>
        <w:tc>
          <w:tcPr>
            <w:tcW w:type="dxa" w:w="2078"/>
            <w:vAlign w:val="top"/>
          </w:tcPr>
          <w:p>
            <w:r>
              <w:rPr>
                <w:rFonts w:ascii="Times New Roman" w:hAnsi="Times New Roman"/>
                <w:sz w:val="13"/>
              </w:rPr>
              <w:t>Continuous conformance</w:t>
            </w:r>
          </w:p>
        </w:tc>
        <w:tc>
          <w:tcPr>
            <w:tcW w:type="dxa" w:w="2078"/>
            <w:vAlign w:val="top"/>
          </w:tcPr>
          <w:p>
            <w:r>
              <w:rPr>
                <w:rFonts w:ascii="Times New Roman" w:hAnsi="Times New Roman"/>
                <w:sz w:val="13"/>
              </w:rPr>
              <w:t>Capability changes over lifecycle</w:t>
            </w:r>
          </w:p>
        </w:tc>
        <w:tc>
          <w:tcPr>
            <w:tcW w:type="dxa" w:w="2078"/>
            <w:vAlign w:val="top"/>
          </w:tcPr>
          <w:p>
            <w:r>
              <w:rPr>
                <w:rFonts w:ascii="Times New Roman" w:hAnsi="Times New Roman"/>
                <w:sz w:val="13"/>
              </w:rPr>
              <w:t>Material changes trigger reassessment</w:t>
            </w:r>
          </w:p>
        </w:tc>
        <w:tc>
          <w:tcPr>
            <w:tcW w:type="dxa" w:w="2078"/>
            <w:vAlign w:val="top"/>
          </w:tcPr>
          <w:p>
            <w:r>
              <w:rPr>
                <w:rFonts w:ascii="Times New Roman" w:hAnsi="Times New Roman"/>
                <w:sz w:val="13"/>
              </w:rPr>
              <w:t>PDTA §19(o); GAAFA §§26,28</w:t>
            </w:r>
          </w:p>
        </w:tc>
        <w:tc>
          <w:tcPr>
            <w:tcW w:type="dxa" w:w="2078"/>
            <w:vAlign w:val="top"/>
          </w:tcPr>
          <w:p>
            <w:r>
              <w:rPr>
                <w:rFonts w:ascii="Times New Roman" w:hAnsi="Times New Roman"/>
                <w:sz w:val="13"/>
              </w:rPr>
              <w:t>CF-37</w:t>
            </w:r>
          </w:p>
        </w:tc>
        <w:tc>
          <w:tcPr>
            <w:tcW w:type="dxa" w:w="2078"/>
            <w:vAlign w:val="top"/>
          </w:tcPr>
          <w:p>
            <w:r>
              <w:rPr>
                <w:rFonts w:ascii="Times New Roman" w:hAnsi="Times New Roman"/>
                <w:sz w:val="13"/>
              </w:rPr>
              <w:t>DTA review</w:t>
            </w:r>
          </w:p>
        </w:tc>
      </w:tr>
      <w:tr>
        <w:tc>
          <w:tcPr>
            <w:tcW w:type="dxa" w:w="2078"/>
            <w:vAlign w:val="top"/>
          </w:tcPr>
          <w:p>
            <w:r>
              <w:rPr>
                <w:rFonts w:ascii="Times New Roman" w:hAnsi="Times New Roman"/>
                <w:sz w:val="13"/>
              </w:rPr>
              <w:t>T-51</w:t>
            </w:r>
          </w:p>
        </w:tc>
        <w:tc>
          <w:tcPr>
            <w:tcW w:type="dxa" w:w="2078"/>
            <w:vAlign w:val="top"/>
          </w:tcPr>
          <w:p>
            <w:r>
              <w:rPr>
                <w:rFonts w:ascii="Times New Roman" w:hAnsi="Times New Roman"/>
                <w:sz w:val="13"/>
              </w:rPr>
              <w:t>Composite transaction non-merger</w:t>
            </w:r>
          </w:p>
        </w:tc>
        <w:tc>
          <w:tcPr>
            <w:tcW w:type="dxa" w:w="2078"/>
            <w:vAlign w:val="top"/>
          </w:tcPr>
          <w:p>
            <w:r>
              <w:rPr>
                <w:rFonts w:ascii="Times New Roman" w:hAnsi="Times New Roman"/>
                <w:sz w:val="13"/>
              </w:rPr>
              <w:t>End-to-end accountability</w:t>
            </w:r>
          </w:p>
        </w:tc>
        <w:tc>
          <w:tcPr>
            <w:tcW w:type="dxa" w:w="2078"/>
            <w:vAlign w:val="top"/>
          </w:tcPr>
          <w:p>
            <w:r>
              <w:rPr>
                <w:rFonts w:ascii="Times New Roman" w:hAnsi="Times New Roman"/>
                <w:sz w:val="13"/>
              </w:rPr>
              <w:t>Aggregate technical capability does not create aggregate authority</w:t>
            </w:r>
          </w:p>
        </w:tc>
        <w:tc>
          <w:tcPr>
            <w:tcW w:type="dxa" w:w="2078"/>
            <w:vAlign w:val="top"/>
          </w:tcPr>
          <w:p>
            <w:r>
              <w:rPr>
                <w:rFonts w:ascii="Times New Roman" w:hAnsi="Times New Roman"/>
                <w:sz w:val="13"/>
              </w:rPr>
              <w:t>PDTA composite transaction provisions; VIDA/GAAFA composite rules</w:t>
            </w:r>
          </w:p>
        </w:tc>
        <w:tc>
          <w:tcPr>
            <w:tcW w:type="dxa" w:w="2078"/>
            <w:vAlign w:val="top"/>
          </w:tcPr>
          <w:p>
            <w:r>
              <w:rPr>
                <w:rFonts w:ascii="Times New Roman" w:hAnsi="Times New Roman"/>
                <w:sz w:val="13"/>
              </w:rPr>
              <w:t>CF-41-CF-44 plus RC3.1</w:t>
            </w:r>
          </w:p>
        </w:tc>
        <w:tc>
          <w:tcPr>
            <w:tcW w:type="dxa" w:w="2078"/>
            <w:vAlign w:val="top"/>
          </w:tcPr>
          <w:p>
            <w:r>
              <w:rPr>
                <w:rFonts w:ascii="Times New Roman" w:hAnsi="Times New Roman"/>
                <w:sz w:val="13"/>
              </w:rPr>
              <w:t>Structural/remedial</w:t>
            </w:r>
          </w:p>
        </w:tc>
      </w:tr>
      <w:tr>
        <w:tc>
          <w:tcPr>
            <w:tcW w:type="dxa" w:w="2078"/>
            <w:vAlign w:val="top"/>
          </w:tcPr>
          <w:p>
            <w:r>
              <w:rPr>
                <w:rFonts w:ascii="Times New Roman" w:hAnsi="Times New Roman"/>
                <w:sz w:val="13"/>
              </w:rPr>
              <w:t>T-52</w:t>
            </w:r>
          </w:p>
        </w:tc>
        <w:tc>
          <w:tcPr>
            <w:tcW w:type="dxa" w:w="2078"/>
            <w:vAlign w:val="top"/>
          </w:tcPr>
          <w:p>
            <w:r>
              <w:rPr>
                <w:rFonts w:ascii="Times New Roman" w:hAnsi="Times New Roman"/>
                <w:sz w:val="13"/>
              </w:rPr>
              <w:t>Responsible Government Agency non-transfer</w:t>
            </w:r>
          </w:p>
        </w:tc>
        <w:tc>
          <w:tcPr>
            <w:tcW w:type="dxa" w:w="2078"/>
            <w:vAlign w:val="top"/>
          </w:tcPr>
          <w:p>
            <w:r>
              <w:rPr>
                <w:rFonts w:ascii="Times New Roman" w:hAnsi="Times New Roman"/>
                <w:sz w:val="13"/>
              </w:rPr>
              <w:t>Accountability without jurisdiction transfer</w:t>
            </w:r>
          </w:p>
        </w:tc>
        <w:tc>
          <w:tcPr>
            <w:tcW w:type="dxa" w:w="2078"/>
            <w:vAlign w:val="top"/>
          </w:tcPr>
          <w:p>
            <w:r>
              <w:rPr>
                <w:rFonts w:ascii="Times New Roman" w:hAnsi="Times New Roman"/>
                <w:sz w:val="13"/>
              </w:rPr>
              <w:t>RGA designation does not enlarge authority/access</w:t>
            </w:r>
          </w:p>
        </w:tc>
        <w:tc>
          <w:tcPr>
            <w:tcW w:type="dxa" w:w="2078"/>
            <w:vAlign w:val="top"/>
          </w:tcPr>
          <w:p>
            <w:r>
              <w:rPr>
                <w:rFonts w:ascii="Times New Roman" w:hAnsi="Times New Roman"/>
                <w:sz w:val="13"/>
              </w:rPr>
              <w:t>PDTA RGA provisions; VIDA/GAAFA layered responsibility</w:t>
            </w:r>
          </w:p>
        </w:tc>
        <w:tc>
          <w:tcPr>
            <w:tcW w:type="dxa" w:w="2078"/>
            <w:vAlign w:val="top"/>
          </w:tcPr>
          <w:p>
            <w:r>
              <w:rPr>
                <w:rFonts w:ascii="Times New Roman" w:hAnsi="Times New Roman"/>
                <w:sz w:val="13"/>
              </w:rPr>
              <w:t>RC3.1 control</w:t>
            </w:r>
          </w:p>
        </w:tc>
        <w:tc>
          <w:tcPr>
            <w:tcW w:type="dxa" w:w="2078"/>
            <w:vAlign w:val="top"/>
          </w:tcPr>
          <w:p>
            <w:r>
              <w:rPr>
                <w:rFonts w:ascii="Times New Roman" w:hAnsi="Times New Roman"/>
                <w:sz w:val="13"/>
              </w:rPr>
              <w:t>DTA accountability</w:t>
            </w:r>
          </w:p>
        </w:tc>
      </w:tr>
      <w:tr>
        <w:tc>
          <w:tcPr>
            <w:tcW w:type="dxa" w:w="2078"/>
            <w:vAlign w:val="top"/>
          </w:tcPr>
          <w:p>
            <w:r>
              <w:rPr>
                <w:rFonts w:ascii="Times New Roman" w:hAnsi="Times New Roman"/>
                <w:sz w:val="13"/>
              </w:rPr>
              <w:t>T-53</w:t>
            </w:r>
          </w:p>
        </w:tc>
        <w:tc>
          <w:tcPr>
            <w:tcW w:type="dxa" w:w="2078"/>
            <w:vAlign w:val="top"/>
          </w:tcPr>
          <w:p>
            <w:r>
              <w:rPr>
                <w:rFonts w:ascii="Times New Roman" w:hAnsi="Times New Roman"/>
                <w:sz w:val="13"/>
              </w:rPr>
              <w:t>Learned-artifact expiration</w:t>
            </w:r>
          </w:p>
        </w:tc>
        <w:tc>
          <w:tcPr>
            <w:tcW w:type="dxa" w:w="2078"/>
            <w:vAlign w:val="top"/>
          </w:tcPr>
          <w:p>
            <w:r>
              <w:rPr>
                <w:rFonts w:ascii="Times New Roman" w:hAnsi="Times New Roman"/>
                <w:sz w:val="13"/>
              </w:rPr>
              <w:t>Capability follows current authority</w:t>
            </w:r>
          </w:p>
        </w:tc>
        <w:tc>
          <w:tcPr>
            <w:tcW w:type="dxa" w:w="2078"/>
            <w:vAlign w:val="top"/>
          </w:tcPr>
          <w:p>
            <w:r>
              <w:rPr>
                <w:rFonts w:ascii="Times New Roman" w:hAnsi="Times New Roman"/>
                <w:sz w:val="13"/>
              </w:rPr>
              <w:t>Unauthorized learned capability quarantined/retired/rebuilt</w:t>
            </w:r>
          </w:p>
        </w:tc>
        <w:tc>
          <w:tcPr>
            <w:tcW w:type="dxa" w:w="2078"/>
            <w:vAlign w:val="top"/>
          </w:tcPr>
          <w:p>
            <w:r>
              <w:rPr>
                <w:rFonts w:ascii="Times New Roman" w:hAnsi="Times New Roman"/>
                <w:sz w:val="13"/>
              </w:rPr>
              <w:t>PDTA §19(i-2); GAAFA learned-artifact rule</w:t>
            </w:r>
          </w:p>
        </w:tc>
        <w:tc>
          <w:tcPr>
            <w:tcW w:type="dxa" w:w="2078"/>
            <w:vAlign w:val="top"/>
          </w:tcPr>
          <w:p>
            <w:r>
              <w:rPr>
                <w:rFonts w:ascii="Times New Roman" w:hAnsi="Times New Roman"/>
                <w:sz w:val="13"/>
              </w:rPr>
              <w:t>CF-57-CF-62 extended</w:t>
            </w:r>
          </w:p>
        </w:tc>
        <w:tc>
          <w:tcPr>
            <w:tcW w:type="dxa" w:w="2078"/>
            <w:vAlign w:val="top"/>
          </w:tcPr>
          <w:p>
            <w:r>
              <w:rPr>
                <w:rFonts w:ascii="Times New Roman" w:hAnsi="Times New Roman"/>
                <w:sz w:val="13"/>
              </w:rPr>
              <w:t>Conformance/retirement</w:t>
            </w:r>
          </w:p>
        </w:tc>
      </w:tr>
      <w:tr>
        <w:tc>
          <w:tcPr>
            <w:tcW w:type="dxa" w:w="2078"/>
            <w:vAlign w:val="top"/>
          </w:tcPr>
          <w:p>
            <w:r>
              <w:rPr>
                <w:rFonts w:ascii="Times New Roman" w:hAnsi="Times New Roman"/>
                <w:sz w:val="13"/>
              </w:rPr>
              <w:t>T-54</w:t>
            </w:r>
          </w:p>
        </w:tc>
        <w:tc>
          <w:tcPr>
            <w:tcW w:type="dxa" w:w="2078"/>
            <w:vAlign w:val="top"/>
          </w:tcPr>
          <w:p>
            <w:r>
              <w:rPr>
                <w:rFonts w:ascii="Times New Roman" w:hAnsi="Times New Roman"/>
                <w:sz w:val="13"/>
              </w:rPr>
              <w:t>Agentic capability-chain inheritance</w:t>
            </w:r>
          </w:p>
        </w:tc>
        <w:tc>
          <w:tcPr>
            <w:tcW w:type="dxa" w:w="2078"/>
            <w:vAlign w:val="top"/>
          </w:tcPr>
          <w:p>
            <w:r>
              <w:rPr>
                <w:rFonts w:ascii="Times New Roman" w:hAnsi="Times New Roman"/>
                <w:sz w:val="13"/>
              </w:rPr>
              <w:t>Delegation does not enlarge authority</w:t>
            </w:r>
          </w:p>
        </w:tc>
        <w:tc>
          <w:tcPr>
            <w:tcW w:type="dxa" w:w="2078"/>
            <w:vAlign w:val="top"/>
          </w:tcPr>
          <w:p>
            <w:r>
              <w:rPr>
                <w:rFonts w:ascii="Times New Roman" w:hAnsi="Times New Roman"/>
                <w:sz w:val="13"/>
              </w:rPr>
              <w:t>Subagents/tools/credentials inherit originating bounds</w:t>
            </w:r>
          </w:p>
        </w:tc>
        <w:tc>
          <w:tcPr>
            <w:tcW w:type="dxa" w:w="2078"/>
            <w:vAlign w:val="top"/>
          </w:tcPr>
          <w:p>
            <w:r>
              <w:rPr>
                <w:rFonts w:ascii="Times New Roman" w:hAnsi="Times New Roman"/>
                <w:sz w:val="13"/>
              </w:rPr>
              <w:t>GAAFA §29</w:t>
            </w:r>
          </w:p>
        </w:tc>
        <w:tc>
          <w:tcPr>
            <w:tcW w:type="dxa" w:w="2078"/>
            <w:vAlign w:val="top"/>
          </w:tcPr>
          <w:p>
            <w:r>
              <w:rPr>
                <w:rFonts w:ascii="Times New Roman" w:hAnsi="Times New Roman"/>
                <w:sz w:val="13"/>
              </w:rPr>
              <w:t>Agentic chain test</w:t>
            </w:r>
          </w:p>
        </w:tc>
        <w:tc>
          <w:tcPr>
            <w:tcW w:type="dxa" w:w="2078"/>
            <w:vAlign w:val="top"/>
          </w:tcPr>
          <w:p>
            <w:r>
              <w:rPr>
                <w:rFonts w:ascii="Times New Roman" w:hAnsi="Times New Roman"/>
                <w:sz w:val="13"/>
              </w:rPr>
              <w:t>GAAFA/PDTA remedies</w:t>
            </w:r>
          </w:p>
        </w:tc>
      </w:tr>
      <w:tr>
        <w:tc>
          <w:tcPr>
            <w:tcW w:type="dxa" w:w="2078"/>
            <w:vAlign w:val="top"/>
          </w:tcPr>
          <w:p>
            <w:r>
              <w:rPr>
                <w:rFonts w:ascii="Times New Roman" w:hAnsi="Times New Roman"/>
                <w:sz w:val="13"/>
              </w:rPr>
              <w:t>T-55</w:t>
            </w:r>
          </w:p>
        </w:tc>
        <w:tc>
          <w:tcPr>
            <w:tcW w:type="dxa" w:w="2078"/>
            <w:vAlign w:val="top"/>
          </w:tcPr>
          <w:p>
            <w:r>
              <w:rPr>
                <w:rFonts w:ascii="Times New Roman" w:hAnsi="Times New Roman"/>
                <w:sz w:val="13"/>
              </w:rPr>
              <w:t>Cross-purpose training non-merger</w:t>
            </w:r>
          </w:p>
        </w:tc>
        <w:tc>
          <w:tcPr>
            <w:tcW w:type="dxa" w:w="2078"/>
            <w:vAlign w:val="top"/>
          </w:tcPr>
          <w:p>
            <w:r>
              <w:rPr>
                <w:rFonts w:ascii="Times New Roman" w:hAnsi="Times New Roman"/>
                <w:sz w:val="13"/>
              </w:rPr>
              <w:t>Purpose separation</w:t>
            </w:r>
          </w:p>
        </w:tc>
        <w:tc>
          <w:tcPr>
            <w:tcW w:type="dxa" w:w="2078"/>
            <w:vAlign w:val="top"/>
          </w:tcPr>
          <w:p>
            <w:r>
              <w:rPr>
                <w:rFonts w:ascii="Times New Roman" w:hAnsi="Times New Roman"/>
                <w:sz w:val="13"/>
              </w:rPr>
              <w:t>Training across purposes does not merge purposes or deployment authority</w:t>
            </w:r>
          </w:p>
        </w:tc>
        <w:tc>
          <w:tcPr>
            <w:tcW w:type="dxa" w:w="2078"/>
            <w:vAlign w:val="top"/>
          </w:tcPr>
          <w:p>
            <w:r>
              <w:rPr>
                <w:rFonts w:ascii="Times New Roman" w:hAnsi="Times New Roman"/>
                <w:sz w:val="13"/>
              </w:rPr>
              <w:t>PDTA training rule; GAAFA training rule</w:t>
            </w:r>
          </w:p>
        </w:tc>
        <w:tc>
          <w:tcPr>
            <w:tcW w:type="dxa" w:w="2078"/>
            <w:vAlign w:val="top"/>
          </w:tcPr>
          <w:p>
            <w:r>
              <w:rPr>
                <w:rFonts w:ascii="Times New Roman" w:hAnsi="Times New Roman"/>
                <w:sz w:val="13"/>
              </w:rPr>
              <w:t>CF-60 extended</w:t>
            </w:r>
          </w:p>
        </w:tc>
        <w:tc>
          <w:tcPr>
            <w:tcW w:type="dxa" w:w="2078"/>
            <w:vAlign w:val="top"/>
          </w:tcPr>
          <w:p>
            <w:r>
              <w:rPr>
                <w:rFonts w:ascii="Times New Roman" w:hAnsi="Times New Roman"/>
                <w:sz w:val="13"/>
              </w:rPr>
              <w:t>Conformance</w:t>
            </w:r>
          </w:p>
        </w:tc>
      </w:tr>
      <w:tr>
        <w:tc>
          <w:tcPr>
            <w:tcW w:type="dxa" w:w="2078"/>
            <w:vAlign w:val="top"/>
          </w:tcPr>
          <w:p>
            <w:r>
              <w:rPr>
                <w:rFonts w:ascii="Times New Roman" w:hAnsi="Times New Roman"/>
                <w:sz w:val="13"/>
              </w:rPr>
              <w:t>T-56</w:t>
            </w:r>
          </w:p>
        </w:tc>
        <w:tc>
          <w:tcPr>
            <w:tcW w:type="dxa" w:w="2078"/>
            <w:vAlign w:val="top"/>
          </w:tcPr>
          <w:p>
            <w:r>
              <w:rPr>
                <w:rFonts w:ascii="Times New Roman" w:hAnsi="Times New Roman"/>
                <w:sz w:val="13"/>
              </w:rPr>
              <w:t>Cybersecurity and abuse-detection profile</w:t>
            </w:r>
          </w:p>
        </w:tc>
        <w:tc>
          <w:tcPr>
            <w:tcW w:type="dxa" w:w="2078"/>
            <w:vAlign w:val="top"/>
          </w:tcPr>
          <w:p>
            <w:r>
              <w:rPr>
                <w:rFonts w:ascii="Times New Roman" w:hAnsi="Times New Roman"/>
                <w:sz w:val="13"/>
              </w:rPr>
              <w:t>Security is bounded governmental purpose</w:t>
            </w:r>
          </w:p>
        </w:tc>
        <w:tc>
          <w:tcPr>
            <w:tcW w:type="dxa" w:w="2078"/>
            <w:vAlign w:val="top"/>
          </w:tcPr>
          <w:p>
            <w:r>
              <w:rPr>
                <w:rFonts w:ascii="Times New Roman" w:hAnsi="Times New Roman"/>
                <w:sz w:val="13"/>
              </w:rPr>
              <w:t>Security correlation permitted but cannot become programmatic generalized power</w:t>
            </w:r>
          </w:p>
        </w:tc>
        <w:tc>
          <w:tcPr>
            <w:tcW w:type="dxa" w:w="2078"/>
            <w:vAlign w:val="top"/>
          </w:tcPr>
          <w:p>
            <w:r>
              <w:rPr>
                <w:rFonts w:ascii="Times New Roman" w:hAnsi="Times New Roman"/>
                <w:sz w:val="13"/>
              </w:rPr>
              <w:t>PDTA §19(j-5); VIDA §27(f-1); GAAFA cybersecurity analytics</w:t>
            </w:r>
          </w:p>
        </w:tc>
        <w:tc>
          <w:tcPr>
            <w:tcW w:type="dxa" w:w="2078"/>
            <w:vAlign w:val="top"/>
          </w:tcPr>
          <w:p>
            <w:r>
              <w:rPr>
                <w:rFonts w:ascii="Times New Roman" w:hAnsi="Times New Roman"/>
                <w:sz w:val="13"/>
              </w:rPr>
              <w:t>Security profile control</w:t>
            </w:r>
          </w:p>
        </w:tc>
        <w:tc>
          <w:tcPr>
            <w:tcW w:type="dxa" w:w="2078"/>
            <w:vAlign w:val="top"/>
          </w:tcPr>
          <w:p>
            <w:r>
              <w:rPr>
                <w:rFonts w:ascii="Times New Roman" w:hAnsi="Times New Roman"/>
                <w:sz w:val="13"/>
              </w:rPr>
              <w:t>DTA oversight; renewed authorization for reuse</w:t>
            </w:r>
          </w:p>
        </w:tc>
      </w:tr>
      <w:tr>
        <w:tc>
          <w:tcPr>
            <w:tcW w:type="dxa" w:w="2078"/>
            <w:vAlign w:val="top"/>
          </w:tcPr>
          <w:p>
            <w:r>
              <w:rPr>
                <w:rFonts w:ascii="Times New Roman" w:hAnsi="Times New Roman"/>
                <w:sz w:val="13"/>
              </w:rPr>
              <w:t>T-57</w:t>
            </w:r>
          </w:p>
        </w:tc>
        <w:tc>
          <w:tcPr>
            <w:tcW w:type="dxa" w:w="2078"/>
            <w:vAlign w:val="top"/>
          </w:tcPr>
          <w:p>
            <w:r>
              <w:rPr>
                <w:rFonts w:ascii="Times New Roman" w:hAnsi="Times New Roman"/>
                <w:sz w:val="13"/>
              </w:rPr>
              <w:t>Common transparency/protected information</w:t>
            </w:r>
          </w:p>
        </w:tc>
        <w:tc>
          <w:tcPr>
            <w:tcW w:type="dxa" w:w="2078"/>
            <w:vAlign w:val="top"/>
          </w:tcPr>
          <w:p>
            <w:r>
              <w:rPr>
                <w:rFonts w:ascii="Times New Roman" w:hAnsi="Times New Roman"/>
                <w:sz w:val="13"/>
              </w:rPr>
              <w:t>Transparency/accountability with lawful secrecy</w:t>
            </w:r>
          </w:p>
        </w:tc>
        <w:tc>
          <w:tcPr>
            <w:tcW w:type="dxa" w:w="2078"/>
            <w:vAlign w:val="top"/>
          </w:tcPr>
          <w:p>
            <w:r>
              <w:rPr>
                <w:rFonts w:ascii="Times New Roman" w:hAnsi="Times New Roman"/>
                <w:sz w:val="13"/>
              </w:rPr>
              <w:t>Accountability survives lawful redaction/delay</w:t>
            </w:r>
          </w:p>
        </w:tc>
        <w:tc>
          <w:tcPr>
            <w:tcW w:type="dxa" w:w="2078"/>
            <w:vAlign w:val="top"/>
          </w:tcPr>
          <w:p>
            <w:r>
              <w:rPr>
                <w:rFonts w:ascii="Times New Roman" w:hAnsi="Times New Roman"/>
                <w:sz w:val="13"/>
              </w:rPr>
              <w:t>PDTA §19(j-6); VIDA §29(h); GAAFA §37</w:t>
            </w:r>
          </w:p>
        </w:tc>
        <w:tc>
          <w:tcPr>
            <w:tcW w:type="dxa" w:w="2078"/>
            <w:vAlign w:val="top"/>
          </w:tcPr>
          <w:p>
            <w:r>
              <w:rPr>
                <w:rFonts w:ascii="Times New Roman" w:hAnsi="Times New Roman"/>
                <w:sz w:val="13"/>
              </w:rPr>
              <w:t>Transparency profile</w:t>
            </w:r>
          </w:p>
        </w:tc>
        <w:tc>
          <w:tcPr>
            <w:tcW w:type="dxa" w:w="2078"/>
            <w:vAlign w:val="top"/>
          </w:tcPr>
          <w:p>
            <w:r>
              <w:rPr>
                <w:rFonts w:ascii="Times New Roman" w:hAnsi="Times New Roman"/>
                <w:sz w:val="13"/>
              </w:rPr>
              <w:t>DTA unredacted oversight</w:t>
            </w:r>
          </w:p>
        </w:tc>
      </w:tr>
      <w:tr>
        <w:tc>
          <w:tcPr>
            <w:tcW w:type="dxa" w:w="2078"/>
            <w:vAlign w:val="top"/>
          </w:tcPr>
          <w:p>
            <w:r>
              <w:rPr>
                <w:rFonts w:ascii="Times New Roman" w:hAnsi="Times New Roman"/>
                <w:sz w:val="13"/>
              </w:rPr>
              <w:t>T-58</w:t>
            </w:r>
          </w:p>
        </w:tc>
        <w:tc>
          <w:tcPr>
            <w:tcW w:type="dxa" w:w="2078"/>
            <w:vAlign w:val="top"/>
          </w:tcPr>
          <w:p>
            <w:r>
              <w:rPr>
                <w:rFonts w:ascii="Times New Roman" w:hAnsi="Times New Roman"/>
                <w:sz w:val="13"/>
              </w:rPr>
              <w:t>FCGIAS reference integrity</w:t>
            </w:r>
          </w:p>
        </w:tc>
        <w:tc>
          <w:tcPr>
            <w:tcW w:type="dxa" w:w="2078"/>
            <w:vAlign w:val="top"/>
          </w:tcPr>
          <w:p>
            <w:r>
              <w:rPr>
                <w:rFonts w:ascii="Times New Roman" w:hAnsi="Times New Roman"/>
                <w:sz w:val="13"/>
              </w:rPr>
              <w:t>Law controls technical standard</w:t>
            </w:r>
          </w:p>
        </w:tc>
        <w:tc>
          <w:tcPr>
            <w:tcW w:type="dxa" w:w="2078"/>
            <w:vAlign w:val="top"/>
          </w:tcPr>
          <w:p>
            <w:r>
              <w:rPr>
                <w:rFonts w:ascii="Times New Roman" w:hAnsi="Times New Roman"/>
                <w:sz w:val="13"/>
              </w:rPr>
              <w:t>Every binding control traces to enacted authority; FCGIAS non-self-executing</w:t>
            </w:r>
          </w:p>
        </w:tc>
        <w:tc>
          <w:tcPr>
            <w:tcW w:type="dxa" w:w="2078"/>
            <w:vAlign w:val="top"/>
          </w:tcPr>
          <w:p>
            <w:r>
              <w:rPr>
                <w:rFonts w:ascii="Times New Roman" w:hAnsi="Times New Roman"/>
                <w:sz w:val="13"/>
              </w:rPr>
              <w:t>PDTA §25(b)-(f), §25(c-2); VIDA §28(a-2); GAAFA conformance §(a-2)</w:t>
            </w:r>
          </w:p>
        </w:tc>
        <w:tc>
          <w:tcPr>
            <w:tcW w:type="dxa" w:w="2078"/>
            <w:vAlign w:val="top"/>
          </w:tcPr>
          <w:p>
            <w:r>
              <w:rPr>
                <w:rFonts w:ascii="Times New Roman" w:hAnsi="Times New Roman"/>
                <w:sz w:val="13"/>
              </w:rPr>
              <w:t>Trilogy Conformance Code</w:t>
            </w:r>
          </w:p>
        </w:tc>
        <w:tc>
          <w:tcPr>
            <w:tcW w:type="dxa" w:w="2078"/>
            <w:vAlign w:val="top"/>
          </w:tcPr>
          <w:p>
            <w:r>
              <w:rPr>
                <w:rFonts w:ascii="Times New Roman" w:hAnsi="Times New Roman"/>
                <w:sz w:val="13"/>
              </w:rPr>
              <w:t>APA rulemaking/judicial review</w:t>
            </w:r>
          </w:p>
        </w:tc>
      </w:tr>
      <w:tr>
        <w:tc>
          <w:tcPr>
            <w:tcW w:type="dxa" w:w="2078"/>
            <w:vAlign w:val="top"/>
          </w:tcPr>
          <w:p>
            <w:r>
              <w:rPr>
                <w:rFonts w:ascii="Times New Roman" w:hAnsi="Times New Roman"/>
                <w:sz w:val="13"/>
              </w:rPr>
              <w:t>T-59</w:t>
            </w:r>
          </w:p>
        </w:tc>
        <w:tc>
          <w:tcPr>
            <w:tcW w:type="dxa" w:w="2078"/>
            <w:vAlign w:val="top"/>
          </w:tcPr>
          <w:p>
            <w:r>
              <w:rPr>
                <w:rFonts w:ascii="Times New Roman" w:hAnsi="Times New Roman"/>
                <w:sz w:val="13"/>
              </w:rPr>
              <w:t>Consolidated periodic review</w:t>
            </w:r>
          </w:p>
        </w:tc>
        <w:tc>
          <w:tcPr>
            <w:tcW w:type="dxa" w:w="2078"/>
            <w:vAlign w:val="top"/>
          </w:tcPr>
          <w:p>
            <w:r>
              <w:rPr>
                <w:rFonts w:ascii="Times New Roman" w:hAnsi="Times New Roman"/>
                <w:sz w:val="13"/>
              </w:rPr>
              <w:t>Continuous institutional learning</w:t>
            </w:r>
          </w:p>
        </w:tc>
        <w:tc>
          <w:tcPr>
            <w:tcW w:type="dxa" w:w="2078"/>
            <w:vAlign w:val="top"/>
          </w:tcPr>
          <w:p>
            <w:r>
              <w:rPr>
                <w:rFonts w:ascii="Times New Roman" w:hAnsi="Times New Roman"/>
                <w:sz w:val="13"/>
              </w:rPr>
              <w:t>One coordinated trilogy review with specialized profiles</w:t>
            </w:r>
          </w:p>
        </w:tc>
        <w:tc>
          <w:tcPr>
            <w:tcW w:type="dxa" w:w="2078"/>
            <w:vAlign w:val="top"/>
          </w:tcPr>
          <w:p>
            <w:r>
              <w:rPr>
                <w:rFonts w:ascii="Times New Roman" w:hAnsi="Times New Roman"/>
                <w:sz w:val="13"/>
              </w:rPr>
              <w:t>PDTA §26; VIDA §31; GAAFA §41</w:t>
            </w:r>
          </w:p>
        </w:tc>
        <w:tc>
          <w:tcPr>
            <w:tcW w:type="dxa" w:w="2078"/>
            <w:vAlign w:val="top"/>
          </w:tcPr>
          <w:p>
            <w:r>
              <w:rPr>
                <w:rFonts w:ascii="Times New Roman" w:hAnsi="Times New Roman"/>
                <w:sz w:val="13"/>
              </w:rPr>
              <w:t>Periodic conformance review</w:t>
            </w:r>
          </w:p>
        </w:tc>
        <w:tc>
          <w:tcPr>
            <w:tcW w:type="dxa" w:w="2078"/>
            <w:vAlign w:val="top"/>
          </w:tcPr>
          <w:p>
            <w:r>
              <w:rPr>
                <w:rFonts w:ascii="Times New Roman" w:hAnsi="Times New Roman"/>
                <w:sz w:val="13"/>
              </w:rPr>
              <w:t>Legislative report/rule update</w:t>
            </w:r>
          </w:p>
        </w:tc>
      </w:tr>
      <w:tr>
        <w:tc>
          <w:tcPr>
            <w:tcW w:type="dxa" w:w="2078"/>
            <w:vAlign w:val="top"/>
          </w:tcPr>
          <w:p>
            <w:r>
              <w:rPr>
                <w:rFonts w:ascii="Times New Roman" w:hAnsi="Times New Roman"/>
                <w:sz w:val="13"/>
              </w:rPr>
              <w:t>T-60</w:t>
            </w:r>
          </w:p>
        </w:tc>
        <w:tc>
          <w:tcPr>
            <w:tcW w:type="dxa" w:w="2078"/>
            <w:vAlign w:val="top"/>
          </w:tcPr>
          <w:p>
            <w:r>
              <w:rPr>
                <w:rFonts w:ascii="Times New Roman" w:hAnsi="Times New Roman"/>
                <w:sz w:val="13"/>
              </w:rPr>
              <w:t>Normative Traceability Matrix</w:t>
            </w:r>
          </w:p>
        </w:tc>
        <w:tc>
          <w:tcPr>
            <w:tcW w:type="dxa" w:w="2078"/>
            <w:vAlign w:val="top"/>
          </w:tcPr>
          <w:p>
            <w:r>
              <w:rPr>
                <w:rFonts w:ascii="Times New Roman" w:hAnsi="Times New Roman"/>
                <w:sz w:val="13"/>
              </w:rPr>
              <w:t>Justification integrity</w:t>
            </w:r>
          </w:p>
        </w:tc>
        <w:tc>
          <w:tcPr>
            <w:tcW w:type="dxa" w:w="2078"/>
            <w:vAlign w:val="top"/>
          </w:tcPr>
          <w:p>
            <w:r>
              <w:rPr>
                <w:rFonts w:ascii="Times New Roman" w:hAnsi="Times New Roman"/>
                <w:sz w:val="13"/>
              </w:rPr>
              <w:t>Orphan technical/statutory requirements identified rather than silently enforced</w:t>
            </w:r>
          </w:p>
        </w:tc>
        <w:tc>
          <w:tcPr>
            <w:tcW w:type="dxa" w:w="2078"/>
            <w:vAlign w:val="top"/>
          </w:tcPr>
          <w:p>
            <w:r>
              <w:rPr>
                <w:rFonts w:ascii="Times New Roman" w:hAnsi="Times New Roman"/>
                <w:sz w:val="13"/>
              </w:rPr>
              <w:t>PDTA §25(c-2), §26(d)</w:t>
            </w:r>
          </w:p>
        </w:tc>
        <w:tc>
          <w:tcPr>
            <w:tcW w:type="dxa" w:w="2078"/>
            <w:vAlign w:val="top"/>
          </w:tcPr>
          <w:p>
            <w:r>
              <w:rPr>
                <w:rFonts w:ascii="Times New Roman" w:hAnsi="Times New Roman"/>
                <w:sz w:val="13"/>
              </w:rPr>
              <w:t>Master NTM</w:t>
            </w:r>
          </w:p>
        </w:tc>
        <w:tc>
          <w:tcPr>
            <w:tcW w:type="dxa" w:w="2078"/>
            <w:vAlign w:val="top"/>
          </w:tcPr>
          <w:p>
            <w:r>
              <w:rPr>
                <w:rFonts w:ascii="Times New Roman" w:hAnsi="Times New Roman"/>
                <w:sz w:val="13"/>
              </w:rPr>
              <w:t>Public registry; legislative/regulatory correction</w:t>
            </w:r>
          </w:p>
        </w:tc>
      </w:tr>
      <w:tr>
        <w:tc>
          <w:tcPr>
            <w:tcW w:type="dxa" w:w="2078"/>
            <w:vAlign w:val="top"/>
          </w:tcPr>
          <w:p>
            <w:r>
              <w:rPr>
                <w:rFonts w:ascii="Times New Roman" w:hAnsi="Times New Roman"/>
                <w:sz w:val="13"/>
              </w:rPr>
              <w:t>T-61</w:t>
            </w:r>
          </w:p>
        </w:tc>
        <w:tc>
          <w:tcPr>
            <w:tcW w:type="dxa" w:w="2078"/>
            <w:vAlign w:val="top"/>
          </w:tcPr>
          <w:p>
            <w:r>
              <w:rPr>
                <w:rFonts w:ascii="Times New Roman" w:hAnsi="Times New Roman"/>
                <w:sz w:val="13"/>
              </w:rPr>
              <w:t>Positive Legal Authority</w:t>
            </w:r>
          </w:p>
        </w:tc>
        <w:tc>
          <w:tcPr>
            <w:tcW w:type="dxa" w:w="2078"/>
            <w:vAlign w:val="top"/>
          </w:tcPr>
          <w:p>
            <w:r>
              <w:rPr>
                <w:rFonts w:ascii="Times New Roman" w:hAnsi="Times New Roman"/>
                <w:sz w:val="13"/>
              </w:rPr>
              <w:t>Source-of-authority identification</w:t>
            </w:r>
          </w:p>
        </w:tc>
        <w:tc>
          <w:tcPr>
            <w:tcW w:type="dxa" w:w="2078"/>
            <w:vAlign w:val="top"/>
          </w:tcPr>
          <w:p>
            <w:r>
              <w:rPr>
                <w:rFonts w:ascii="Times New Roman" w:hAnsi="Times New Roman"/>
                <w:sz w:val="13"/>
              </w:rPr>
              <w:t>Legal source identified but not self-validating for FC conformance</w:t>
            </w:r>
          </w:p>
        </w:tc>
        <w:tc>
          <w:tcPr>
            <w:tcW w:type="dxa" w:w="2078"/>
            <w:vAlign w:val="top"/>
          </w:tcPr>
          <w:p>
            <w:r>
              <w:rPr>
                <w:rFonts w:ascii="Times New Roman" w:hAnsi="Times New Roman"/>
                <w:sz w:val="13"/>
              </w:rPr>
              <w:t>PDTA 2.2 synchronized authority provisions</w:t>
            </w:r>
          </w:p>
        </w:tc>
        <w:tc>
          <w:tcPr>
            <w:tcW w:type="dxa" w:w="2078"/>
            <w:vAlign w:val="top"/>
          </w:tcPr>
          <w:p>
            <w:r>
              <w:rPr>
                <w:rFonts w:ascii="Times New Roman" w:hAnsi="Times New Roman"/>
                <w:sz w:val="13"/>
              </w:rPr>
              <w:t>CF-70</w:t>
            </w:r>
          </w:p>
        </w:tc>
        <w:tc>
          <w:tcPr>
            <w:tcW w:type="dxa" w:w="2078"/>
            <w:vAlign w:val="top"/>
          </w:tcPr>
          <w:p>
            <w:r>
              <w:rPr>
                <w:rFonts w:ascii="Times New Roman" w:hAnsi="Times New Roman"/>
                <w:sz w:val="13"/>
              </w:rPr>
              <w:t>Legal review; conformance classification</w:t>
            </w:r>
          </w:p>
        </w:tc>
      </w:tr>
      <w:tr>
        <w:tc>
          <w:tcPr>
            <w:tcW w:type="dxa" w:w="2078"/>
            <w:vAlign w:val="top"/>
          </w:tcPr>
          <w:p>
            <w:r>
              <w:rPr>
                <w:rFonts w:ascii="Times New Roman" w:hAnsi="Times New Roman"/>
                <w:sz w:val="13"/>
              </w:rPr>
              <w:t>T-62</w:t>
            </w:r>
          </w:p>
        </w:tc>
        <w:tc>
          <w:tcPr>
            <w:tcW w:type="dxa" w:w="2078"/>
            <w:vAlign w:val="top"/>
          </w:tcPr>
          <w:p>
            <w:r>
              <w:rPr>
                <w:rFonts w:ascii="Times New Roman" w:hAnsi="Times New Roman"/>
                <w:sz w:val="13"/>
              </w:rPr>
              <w:t>Legitimate Informational Authority</w:t>
            </w:r>
          </w:p>
        </w:tc>
        <w:tc>
          <w:tcPr>
            <w:tcW w:type="dxa" w:w="2078"/>
            <w:vAlign w:val="top"/>
          </w:tcPr>
          <w:p>
            <w:r>
              <w:rPr>
                <w:rFonts w:ascii="Times New Roman" w:hAnsi="Times New Roman"/>
                <w:sz w:val="13"/>
              </w:rPr>
              <w:t>OIA legitimacy in source and scope</w:t>
            </w:r>
          </w:p>
        </w:tc>
        <w:tc>
          <w:tcPr>
            <w:tcW w:type="dxa" w:w="2078"/>
            <w:vAlign w:val="top"/>
          </w:tcPr>
          <w:p>
            <w:r>
              <w:rPr>
                <w:rFonts w:ascii="Times New Roman" w:hAnsi="Times New Roman"/>
                <w:sz w:val="13"/>
              </w:rPr>
              <w:t>Standing capability must be justified by relationship, function, OIP, scope, necessity, consequence, and divergence</w:t>
            </w:r>
          </w:p>
        </w:tc>
        <w:tc>
          <w:tcPr>
            <w:tcW w:type="dxa" w:w="2078"/>
            <w:vAlign w:val="top"/>
          </w:tcPr>
          <w:p>
            <w:r>
              <w:rPr>
                <w:rFonts w:ascii="Times New Roman" w:hAnsi="Times New Roman"/>
                <w:sz w:val="13"/>
              </w:rPr>
              <w:t>PDTA 2.2 legitimacy duty</w:t>
            </w:r>
          </w:p>
        </w:tc>
        <w:tc>
          <w:tcPr>
            <w:tcW w:type="dxa" w:w="2078"/>
            <w:vAlign w:val="top"/>
          </w:tcPr>
          <w:p>
            <w:r>
              <w:rPr>
                <w:rFonts w:ascii="Times New Roman" w:hAnsi="Times New Roman"/>
                <w:sz w:val="13"/>
              </w:rPr>
              <w:t>CF-71</w:t>
            </w:r>
          </w:p>
        </w:tc>
        <w:tc>
          <w:tcPr>
            <w:tcW w:type="dxa" w:w="2078"/>
            <w:vAlign w:val="top"/>
          </w:tcPr>
          <w:p>
            <w:r>
              <w:rPr>
                <w:rFonts w:ascii="Times New Roman" w:hAnsi="Times New Roman"/>
                <w:sz w:val="13"/>
              </w:rPr>
              <w:t>Structural/remedial; statutory remedies if enacted</w:t>
            </w:r>
          </w:p>
        </w:tc>
      </w:tr>
      <w:tr>
        <w:tc>
          <w:tcPr>
            <w:tcW w:type="dxa" w:w="2078"/>
            <w:vAlign w:val="top"/>
          </w:tcPr>
          <w:p>
            <w:r>
              <w:rPr>
                <w:rFonts w:ascii="Times New Roman" w:hAnsi="Times New Roman"/>
                <w:sz w:val="13"/>
              </w:rPr>
              <w:t>T-63</w:t>
            </w:r>
          </w:p>
        </w:tc>
        <w:tc>
          <w:tcPr>
            <w:tcW w:type="dxa" w:w="2078"/>
            <w:vAlign w:val="top"/>
          </w:tcPr>
          <w:p>
            <w:r>
              <w:rPr>
                <w:rFonts w:ascii="Times New Roman" w:hAnsi="Times New Roman"/>
                <w:sz w:val="13"/>
              </w:rPr>
              <w:t>Citizen-Originated Purpose Boundary</w:t>
            </w:r>
          </w:p>
        </w:tc>
        <w:tc>
          <w:tcPr>
            <w:tcW w:type="dxa" w:w="2078"/>
            <w:vAlign w:val="top"/>
          </w:tcPr>
          <w:p>
            <w:r>
              <w:rPr>
                <w:rFonts w:ascii="Times New Roman" w:hAnsi="Times New Roman"/>
                <w:sz w:val="13"/>
              </w:rPr>
              <w:t>OIP citizen branch elevated</w:t>
            </w:r>
          </w:p>
        </w:tc>
        <w:tc>
          <w:tcPr>
            <w:tcW w:type="dxa" w:w="2078"/>
            <w:vAlign w:val="top"/>
          </w:tcPr>
          <w:p>
            <w:r>
              <w:rPr>
                <w:rFonts w:ascii="Times New Roman" w:hAnsi="Times New Roman"/>
                <w:sz w:val="13"/>
              </w:rPr>
              <w:t>Individual's specific voluntary purpose presumptively establishes originating boundary</w:t>
            </w:r>
          </w:p>
        </w:tc>
        <w:tc>
          <w:tcPr>
            <w:tcW w:type="dxa" w:w="2078"/>
            <w:vAlign w:val="top"/>
          </w:tcPr>
          <w:p>
            <w:r>
              <w:rPr>
                <w:rFonts w:ascii="Times New Roman" w:hAnsi="Times New Roman"/>
                <w:sz w:val="13"/>
              </w:rPr>
              <w:t>PDTA/VIDA 2.2</w:t>
            </w:r>
          </w:p>
        </w:tc>
        <w:tc>
          <w:tcPr>
            <w:tcW w:type="dxa" w:w="2078"/>
            <w:vAlign w:val="top"/>
          </w:tcPr>
          <w:p>
            <w:r>
              <w:rPr>
                <w:rFonts w:ascii="Times New Roman" w:hAnsi="Times New Roman"/>
                <w:sz w:val="13"/>
              </w:rPr>
              <w:t>CF-72</w:t>
            </w:r>
          </w:p>
        </w:tc>
        <w:tc>
          <w:tcPr>
            <w:tcW w:type="dxa" w:w="2078"/>
            <w:vAlign w:val="top"/>
          </w:tcPr>
          <w:p>
            <w:r>
              <w:rPr>
                <w:rFonts w:ascii="Times New Roman" w:hAnsi="Times New Roman"/>
                <w:sz w:val="13"/>
              </w:rPr>
              <w:t>Burden on government for expansion</w:t>
            </w:r>
          </w:p>
        </w:tc>
      </w:tr>
      <w:tr>
        <w:tc>
          <w:tcPr>
            <w:tcW w:type="dxa" w:w="2078"/>
            <w:vAlign w:val="top"/>
          </w:tcPr>
          <w:p>
            <w:r>
              <w:rPr>
                <w:rFonts w:ascii="Times New Roman" w:hAnsi="Times New Roman"/>
                <w:sz w:val="13"/>
              </w:rPr>
              <w:t>T-64</w:t>
            </w:r>
          </w:p>
        </w:tc>
        <w:tc>
          <w:tcPr>
            <w:tcW w:type="dxa" w:w="2078"/>
            <w:vAlign w:val="top"/>
          </w:tcPr>
          <w:p>
            <w:r>
              <w:rPr>
                <w:rFonts w:ascii="Times New Roman" w:hAnsi="Times New Roman"/>
                <w:sz w:val="13"/>
              </w:rPr>
              <w:t>Purpose Divergence</w:t>
            </w:r>
          </w:p>
        </w:tc>
        <w:tc>
          <w:tcPr>
            <w:tcW w:type="dxa" w:w="2078"/>
            <w:vAlign w:val="top"/>
          </w:tcPr>
          <w:p>
            <w:r>
              <w:rPr>
                <w:rFonts w:ascii="Times New Roman" w:hAnsi="Times New Roman"/>
                <w:sz w:val="13"/>
              </w:rPr>
              <w:t>Graduated informational justification</w:t>
            </w:r>
          </w:p>
        </w:tc>
        <w:tc>
          <w:tcPr>
            <w:tcW w:type="dxa" w:w="2078"/>
            <w:vAlign w:val="top"/>
          </w:tcPr>
          <w:p>
            <w:r>
              <w:rPr>
                <w:rFonts w:ascii="Times New Roman" w:hAnsi="Times New Roman"/>
                <w:sz w:val="13"/>
              </w:rPr>
              <w:t>Greater divergence requires greater justification and friction</w:t>
            </w:r>
          </w:p>
        </w:tc>
        <w:tc>
          <w:tcPr>
            <w:tcW w:type="dxa" w:w="2078"/>
            <w:vAlign w:val="top"/>
          </w:tcPr>
          <w:p>
            <w:r>
              <w:rPr>
                <w:rFonts w:ascii="Times New Roman" w:hAnsi="Times New Roman"/>
                <w:sz w:val="13"/>
              </w:rPr>
              <w:t>PDTA/GAAFA 2.2</w:t>
            </w:r>
          </w:p>
        </w:tc>
        <w:tc>
          <w:tcPr>
            <w:tcW w:type="dxa" w:w="2078"/>
            <w:vAlign w:val="top"/>
          </w:tcPr>
          <w:p>
            <w:r>
              <w:rPr>
                <w:rFonts w:ascii="Times New Roman" w:hAnsi="Times New Roman"/>
                <w:sz w:val="13"/>
              </w:rPr>
              <w:t>CF-73</w:t>
            </w:r>
          </w:p>
        </w:tc>
        <w:tc>
          <w:tcPr>
            <w:tcW w:type="dxa" w:w="2078"/>
            <w:vAlign w:val="top"/>
          </w:tcPr>
          <w:p>
            <w:r>
              <w:rPr>
                <w:rFonts w:ascii="Times New Roman" w:hAnsi="Times New Roman"/>
                <w:sz w:val="13"/>
              </w:rPr>
              <w:t>Conformance; renewed authorization</w:t>
            </w:r>
          </w:p>
        </w:tc>
      </w:tr>
      <w:tr>
        <w:tc>
          <w:tcPr>
            <w:tcW w:type="dxa" w:w="2078"/>
            <w:vAlign w:val="top"/>
          </w:tcPr>
          <w:p>
            <w:r>
              <w:rPr>
                <w:rFonts w:ascii="Times New Roman" w:hAnsi="Times New Roman"/>
                <w:sz w:val="13"/>
              </w:rPr>
              <w:t>T-65</w:t>
            </w:r>
          </w:p>
        </w:tc>
        <w:tc>
          <w:tcPr>
            <w:tcW w:type="dxa" w:w="2078"/>
            <w:vAlign w:val="top"/>
          </w:tcPr>
          <w:p>
            <w:r>
              <w:rPr>
                <w:rFonts w:ascii="Times New Roman" w:hAnsi="Times New Roman"/>
                <w:sz w:val="13"/>
              </w:rPr>
              <w:t>Informational Justification Levels</w:t>
            </w:r>
          </w:p>
        </w:tc>
        <w:tc>
          <w:tcPr>
            <w:tcW w:type="dxa" w:w="2078"/>
            <w:vAlign w:val="top"/>
          </w:tcPr>
          <w:p>
            <w:r>
              <w:rPr>
                <w:rFonts w:ascii="Times New Roman" w:hAnsi="Times New Roman"/>
                <w:sz w:val="13"/>
              </w:rPr>
              <w:t>IJ-1 through IJ-4</w:t>
            </w:r>
          </w:p>
        </w:tc>
        <w:tc>
          <w:tcPr>
            <w:tcW w:type="dxa" w:w="2078"/>
            <w:vAlign w:val="top"/>
          </w:tcPr>
          <w:p>
            <w:r>
              <w:rPr>
                <w:rFonts w:ascii="Times New Roman" w:hAnsi="Times New Roman"/>
                <w:sz w:val="13"/>
              </w:rPr>
              <w:t>Necessity, proportionality where applicable, Authorized Answer, Least Informational Power, duration, consequence, sequestration</w:t>
            </w:r>
          </w:p>
        </w:tc>
        <w:tc>
          <w:tcPr>
            <w:tcW w:type="dxa" w:w="2078"/>
            <w:vAlign w:val="top"/>
          </w:tcPr>
          <w:p>
            <w:r>
              <w:rPr>
                <w:rFonts w:ascii="Times New Roman" w:hAnsi="Times New Roman"/>
                <w:sz w:val="13"/>
              </w:rPr>
              <w:t>PDTA/VIDA/GAAFA 2.2</w:t>
            </w:r>
          </w:p>
        </w:tc>
        <w:tc>
          <w:tcPr>
            <w:tcW w:type="dxa" w:w="2078"/>
            <w:vAlign w:val="top"/>
          </w:tcPr>
          <w:p>
            <w:r>
              <w:rPr>
                <w:rFonts w:ascii="Times New Roman" w:hAnsi="Times New Roman"/>
                <w:sz w:val="13"/>
              </w:rPr>
              <w:t>CF-74</w:t>
            </w:r>
          </w:p>
        </w:tc>
        <w:tc>
          <w:tcPr>
            <w:tcW w:type="dxa" w:w="2078"/>
            <w:vAlign w:val="top"/>
          </w:tcPr>
          <w:p>
            <w:r>
              <w:rPr>
                <w:rFonts w:ascii="Times New Roman" w:hAnsi="Times New Roman"/>
                <w:sz w:val="13"/>
              </w:rPr>
              <w:t>Conformance/remediation</w:t>
            </w:r>
          </w:p>
        </w:tc>
      </w:tr>
      <w:tr>
        <w:tc>
          <w:tcPr>
            <w:tcW w:type="dxa" w:w="2078"/>
            <w:vAlign w:val="top"/>
          </w:tcPr>
          <w:p>
            <w:r>
              <w:rPr>
                <w:rFonts w:ascii="Times New Roman" w:hAnsi="Times New Roman"/>
                <w:sz w:val="13"/>
              </w:rPr>
              <w:t>T-66</w:t>
            </w:r>
          </w:p>
        </w:tc>
        <w:tc>
          <w:tcPr>
            <w:tcW w:type="dxa" w:w="2078"/>
            <w:vAlign w:val="top"/>
          </w:tcPr>
          <w:p>
            <w:r>
              <w:rPr>
                <w:rFonts w:ascii="Times New Roman" w:hAnsi="Times New Roman"/>
                <w:sz w:val="13"/>
              </w:rPr>
              <w:t>Anti-Abstraction</w:t>
            </w:r>
          </w:p>
        </w:tc>
        <w:tc>
          <w:tcPr>
            <w:tcW w:type="dxa" w:w="2078"/>
            <w:vAlign w:val="top"/>
          </w:tcPr>
          <w:p>
            <w:r>
              <w:rPr>
                <w:rFonts w:ascii="Times New Roman" w:hAnsi="Times New Roman"/>
                <w:sz w:val="13"/>
              </w:rPr>
              <w:t>Purpose legitimacy</w:t>
            </w:r>
          </w:p>
        </w:tc>
        <w:tc>
          <w:tcPr>
            <w:tcW w:type="dxa" w:w="2078"/>
            <w:vAlign w:val="top"/>
          </w:tcPr>
          <w:p>
            <w:r>
              <w:rPr>
                <w:rFonts w:ascii="Times New Roman" w:hAnsi="Times New Roman"/>
                <w:sz w:val="13"/>
              </w:rPr>
              <w:t>General labels cannot cure divergence</w:t>
            </w:r>
          </w:p>
        </w:tc>
        <w:tc>
          <w:tcPr>
            <w:tcW w:type="dxa" w:w="2078"/>
            <w:vAlign w:val="top"/>
          </w:tcPr>
          <w:p>
            <w:r>
              <w:rPr>
                <w:rFonts w:ascii="Times New Roman" w:hAnsi="Times New Roman"/>
                <w:sz w:val="13"/>
              </w:rPr>
              <w:t>PDTA/GAAFA 2.2 purpose provisions</w:t>
            </w:r>
          </w:p>
        </w:tc>
        <w:tc>
          <w:tcPr>
            <w:tcW w:type="dxa" w:w="2078"/>
            <w:vAlign w:val="top"/>
          </w:tcPr>
          <w:p>
            <w:r>
              <w:rPr>
                <w:rFonts w:ascii="Times New Roman" w:hAnsi="Times New Roman"/>
                <w:sz w:val="13"/>
              </w:rPr>
              <w:t>CF-75</w:t>
            </w:r>
          </w:p>
        </w:tc>
        <w:tc>
          <w:tcPr>
            <w:tcW w:type="dxa" w:w="2078"/>
            <w:vAlign w:val="top"/>
          </w:tcPr>
          <w:p>
            <w:r>
              <w:rPr>
                <w:rFonts w:ascii="Times New Roman" w:hAnsi="Times New Roman"/>
                <w:sz w:val="13"/>
              </w:rPr>
              <w:t>Fail unless particularized</w:t>
            </w:r>
          </w:p>
        </w:tc>
      </w:tr>
      <w:tr>
        <w:tc>
          <w:tcPr>
            <w:tcW w:type="dxa" w:w="2078"/>
            <w:vAlign w:val="top"/>
          </w:tcPr>
          <w:p>
            <w:r>
              <w:rPr>
                <w:rFonts w:ascii="Times New Roman" w:hAnsi="Times New Roman"/>
                <w:sz w:val="13"/>
              </w:rPr>
              <w:t>T-67</w:t>
            </w:r>
          </w:p>
        </w:tc>
        <w:tc>
          <w:tcPr>
            <w:tcW w:type="dxa" w:w="2078"/>
            <w:vAlign w:val="top"/>
          </w:tcPr>
          <w:p>
            <w:r>
              <w:rPr>
                <w:rFonts w:ascii="Times New Roman" w:hAnsi="Times New Roman"/>
                <w:sz w:val="13"/>
              </w:rPr>
              <w:t>Positive-Authority Bootstrap</w:t>
            </w:r>
          </w:p>
        </w:tc>
        <w:tc>
          <w:tcPr>
            <w:tcW w:type="dxa" w:w="2078"/>
            <w:vAlign w:val="top"/>
          </w:tcPr>
          <w:p>
            <w:r>
              <w:rPr>
                <w:rFonts w:ascii="Times New Roman" w:hAnsi="Times New Roman"/>
                <w:sz w:val="13"/>
              </w:rPr>
              <w:t>Non-self-validation</w:t>
            </w:r>
          </w:p>
        </w:tc>
        <w:tc>
          <w:tcPr>
            <w:tcW w:type="dxa" w:w="2078"/>
            <w:vAlign w:val="top"/>
          </w:tcPr>
          <w:p>
            <w:r>
              <w:rPr>
                <w:rFonts w:ascii="Times New Roman" w:hAnsi="Times New Roman"/>
                <w:sz w:val="13"/>
              </w:rPr>
              <w:t>Broad positive authorization cannot alone establish FCGIAS conformance</w:t>
            </w:r>
          </w:p>
        </w:tc>
        <w:tc>
          <w:tcPr>
            <w:tcW w:type="dxa" w:w="2078"/>
            <w:vAlign w:val="top"/>
          </w:tcPr>
          <w:p>
            <w:r>
              <w:rPr>
                <w:rFonts w:ascii="Times New Roman" w:hAnsi="Times New Roman"/>
                <w:sz w:val="13"/>
              </w:rPr>
              <w:t>PDTA 2.2; FCGIAS F-1A/F-1B</w:t>
            </w:r>
          </w:p>
        </w:tc>
        <w:tc>
          <w:tcPr>
            <w:tcW w:type="dxa" w:w="2078"/>
            <w:vAlign w:val="top"/>
          </w:tcPr>
          <w:p>
            <w:r>
              <w:rPr>
                <w:rFonts w:ascii="Times New Roman" w:hAnsi="Times New Roman"/>
                <w:sz w:val="13"/>
              </w:rPr>
              <w:t>CF-76</w:t>
            </w:r>
          </w:p>
        </w:tc>
        <w:tc>
          <w:tcPr>
            <w:tcW w:type="dxa" w:w="2078"/>
            <w:vAlign w:val="top"/>
          </w:tcPr>
          <w:p>
            <w:r>
              <w:rPr>
                <w:rFonts w:ascii="Times New Roman" w:hAnsi="Times New Roman"/>
                <w:sz w:val="13"/>
              </w:rPr>
              <w:t>Lawful-but-nonconforming classification possible</w:t>
            </w:r>
          </w:p>
        </w:tc>
      </w:tr>
      <w:tr>
        <w:tc>
          <w:tcPr>
            <w:tcW w:type="dxa" w:w="2078"/>
            <w:vAlign w:val="top"/>
          </w:tcPr>
          <w:p>
            <w:r>
              <w:rPr>
                <w:rFonts w:ascii="Times New Roman" w:hAnsi="Times New Roman"/>
                <w:sz w:val="13"/>
              </w:rPr>
              <w:t>T-68</w:t>
            </w:r>
          </w:p>
        </w:tc>
        <w:tc>
          <w:tcPr>
            <w:tcW w:type="dxa" w:w="2078"/>
            <w:vAlign w:val="top"/>
          </w:tcPr>
          <w:p>
            <w:r>
              <w:rPr>
                <w:rFonts w:ascii="Times New Roman" w:hAnsi="Times New Roman"/>
                <w:sz w:val="13"/>
              </w:rPr>
              <w:t>Relational Multi-Person Legitimacy</w:t>
            </w:r>
          </w:p>
        </w:tc>
        <w:tc>
          <w:tcPr>
            <w:tcW w:type="dxa" w:w="2078"/>
            <w:vAlign w:val="top"/>
          </w:tcPr>
          <w:p>
            <w:r>
              <w:rPr>
                <w:rFonts w:ascii="Times New Roman" w:hAnsi="Times New Roman"/>
                <w:sz w:val="13"/>
              </w:rPr>
              <w:t>Relational OIA</w:t>
            </w:r>
          </w:p>
        </w:tc>
        <w:tc>
          <w:tcPr>
            <w:tcW w:type="dxa" w:w="2078"/>
            <w:vAlign w:val="top"/>
          </w:tcPr>
          <w:p>
            <w:r>
              <w:rPr>
                <w:rFonts w:ascii="Times New Roman" w:hAnsi="Times New Roman"/>
                <w:sz w:val="13"/>
              </w:rPr>
              <w:t>One person's purpose or consent does not bootstrap consequential knowledge about another</w:t>
            </w:r>
          </w:p>
        </w:tc>
        <w:tc>
          <w:tcPr>
            <w:tcW w:type="dxa" w:w="2078"/>
            <w:vAlign w:val="top"/>
          </w:tcPr>
          <w:p>
            <w:r>
              <w:rPr>
                <w:rFonts w:ascii="Times New Roman" w:hAnsi="Times New Roman"/>
                <w:sz w:val="13"/>
              </w:rPr>
              <w:t>PDTA/VIDA/GAAFA 2.2 relational provisions</w:t>
            </w:r>
          </w:p>
        </w:tc>
        <w:tc>
          <w:tcPr>
            <w:tcW w:type="dxa" w:w="2078"/>
            <w:vAlign w:val="top"/>
          </w:tcPr>
          <w:p>
            <w:r>
              <w:rPr>
                <w:rFonts w:ascii="Times New Roman" w:hAnsi="Times New Roman"/>
                <w:sz w:val="13"/>
              </w:rPr>
              <w:t>CF-77</w:t>
            </w:r>
          </w:p>
        </w:tc>
        <w:tc>
          <w:tcPr>
            <w:tcW w:type="dxa" w:w="2078"/>
            <w:vAlign w:val="top"/>
          </w:tcPr>
          <w:p>
            <w:r>
              <w:rPr>
                <w:rFonts w:ascii="Times New Roman" w:hAnsi="Times New Roman"/>
                <w:sz w:val="13"/>
              </w:rPr>
              <w:t>Rights/conformance/remedies as enacted</w:t>
            </w:r>
          </w:p>
        </w:tc>
      </w:tr>
      <w:tr>
        <w:tc>
          <w:tcPr>
            <w:tcW w:type="dxa" w:w="2078"/>
            <w:vAlign w:val="top"/>
          </w:tcPr>
          <w:p>
            <w:r>
              <w:rPr>
                <w:rFonts w:ascii="Times New Roman" w:hAnsi="Times New Roman"/>
                <w:sz w:val="13"/>
              </w:rPr>
              <w:t>T-69</w:t>
            </w:r>
          </w:p>
        </w:tc>
        <w:tc>
          <w:tcPr>
            <w:tcW w:type="dxa" w:w="2078"/>
            <w:vAlign w:val="top"/>
          </w:tcPr>
          <w:p>
            <w:r>
              <w:rPr>
                <w:rFonts w:ascii="Times New Roman" w:hAnsi="Times New Roman"/>
                <w:sz w:val="13"/>
              </w:rPr>
              <w:t>Conformance-Legality Separation</w:t>
            </w:r>
          </w:p>
        </w:tc>
        <w:tc>
          <w:tcPr>
            <w:tcW w:type="dxa" w:w="2078"/>
            <w:vAlign w:val="top"/>
          </w:tcPr>
          <w:p>
            <w:r>
              <w:rPr>
                <w:rFonts w:ascii="Times New Roman" w:hAnsi="Times New Roman"/>
                <w:sz w:val="13"/>
              </w:rPr>
              <w:t>Non-usurpation</w:t>
            </w:r>
          </w:p>
        </w:tc>
        <w:tc>
          <w:tcPr>
            <w:tcW w:type="dxa" w:w="2078"/>
            <w:vAlign w:val="top"/>
          </w:tcPr>
          <w:p>
            <w:r>
              <w:rPr>
                <w:rFonts w:ascii="Times New Roman" w:hAnsi="Times New Roman"/>
                <w:sz w:val="13"/>
              </w:rPr>
              <w:t>FC nonconformance is distinct from positive-law invalidity</w:t>
            </w:r>
          </w:p>
        </w:tc>
        <w:tc>
          <w:tcPr>
            <w:tcW w:type="dxa" w:w="2078"/>
            <w:vAlign w:val="top"/>
          </w:tcPr>
          <w:p>
            <w:r>
              <w:rPr>
                <w:rFonts w:ascii="Times New Roman" w:hAnsi="Times New Roman"/>
                <w:sz w:val="13"/>
              </w:rPr>
              <w:t>PDTA 2.2 rulemaking hierarchy; FCGIAS F-1C</w:t>
            </w:r>
          </w:p>
        </w:tc>
        <w:tc>
          <w:tcPr>
            <w:tcW w:type="dxa" w:w="2078"/>
            <w:vAlign w:val="top"/>
          </w:tcPr>
          <w:p>
            <w:r>
              <w:rPr>
                <w:rFonts w:ascii="Times New Roman" w:hAnsi="Times New Roman"/>
                <w:sz w:val="13"/>
              </w:rPr>
              <w:t>CF-78</w:t>
            </w:r>
          </w:p>
        </w:tc>
        <w:tc>
          <w:tcPr>
            <w:tcW w:type="dxa" w:w="2078"/>
            <w:vAlign w:val="top"/>
          </w:tcPr>
          <w:p>
            <w:r>
              <w:rPr>
                <w:rFonts w:ascii="Times New Roman" w:hAnsi="Times New Roman"/>
                <w:sz w:val="13"/>
              </w:rPr>
              <w:t>Classification/escalation; no independent nullification</w:t>
            </w:r>
          </w:p>
        </w:tc>
      </w:tr>
      <w:tr>
        <w:tc>
          <w:tcPr>
            <w:tcW w:type="dxa" w:w="2078"/>
            <w:vAlign w:val="top"/>
          </w:tcPr>
          <w:p>
            <w:r>
              <w:rPr>
                <w:rFonts w:ascii="Times New Roman" w:hAnsi="Times New Roman"/>
                <w:sz w:val="13"/>
              </w:rPr>
              <w:t>T-70</w:t>
            </w:r>
          </w:p>
        </w:tc>
        <w:tc>
          <w:tcPr>
            <w:tcW w:type="dxa" w:w="2078"/>
            <w:vAlign w:val="top"/>
          </w:tcPr>
          <w:p>
            <w:r>
              <w:rPr>
                <w:rFonts w:ascii="Times New Roman" w:hAnsi="Times New Roman"/>
                <w:sz w:val="13"/>
              </w:rPr>
              <w:t>Necessary Standing Informational Capability / Structural Least Power</w:t>
            </w:r>
          </w:p>
        </w:tc>
        <w:tc>
          <w:tcPr>
            <w:tcW w:type="dxa" w:w="2078"/>
            <w:vAlign w:val="top"/>
          </w:tcPr>
          <w:p>
            <w:r>
              <w:rPr>
                <w:rFonts w:ascii="Times New Roman" w:hAnsi="Times New Roman"/>
                <w:sz w:val="13"/>
              </w:rPr>
              <w:t>Standing Technical Informational Capability ≤ Necessary Standing Informational Capability ≤ Standing Legitimate Informational Authority</w:t>
            </w:r>
          </w:p>
        </w:tc>
        <w:tc>
          <w:tcPr>
            <w:tcW w:type="dxa" w:w="2078"/>
            <w:vAlign w:val="top"/>
          </w:tcPr>
          <w:p>
            <w:r>
              <w:rPr>
                <w:rFonts w:ascii="Times New Roman" w:hAnsi="Times New Roman"/>
                <w:sz w:val="13"/>
              </w:rPr>
              <w:t>Ordinary standing technical capability must not materially exceed the capability reasonably necessary for the legitimate standing function; broader capability activates only after sufficient predicate, authority, and necessity.</w:t>
            </w:r>
          </w:p>
        </w:tc>
        <w:tc>
          <w:tcPr>
            <w:tcW w:type="dxa" w:w="2078"/>
            <w:vAlign w:val="top"/>
          </w:tcPr>
          <w:p>
            <w:r>
              <w:rPr>
                <w:rFonts w:ascii="Times New Roman" w:hAnsi="Times New Roman"/>
                <w:sz w:val="13"/>
              </w:rPr>
              <w:t>FCGIAS Version 2.2 IR-01 controlled clarification; procurement and conformance implementation</w:t>
            </w:r>
          </w:p>
        </w:tc>
        <w:tc>
          <w:tcPr>
            <w:tcW w:type="dxa" w:w="2078"/>
            <w:vAlign w:val="top"/>
          </w:tcPr>
          <w:p>
            <w:r>
              <w:rPr>
                <w:rFonts w:ascii="Times New Roman" w:hAnsi="Times New Roman"/>
                <w:sz w:val="13"/>
              </w:rPr>
              <w:t>CF-79; SD-13</w:t>
            </w:r>
          </w:p>
        </w:tc>
        <w:tc>
          <w:tcPr>
            <w:tcW w:type="dxa" w:w="2078"/>
            <w:vAlign w:val="top"/>
          </w:tcPr>
          <w:p>
            <w:r>
              <w:rPr>
                <w:rFonts w:ascii="Times New Roman" w:hAnsi="Times New Roman"/>
                <w:sz w:val="13"/>
              </w:rPr>
              <w:t>Structural failure if unnecessary standing capability exists; Least-Power remediation: REMOVE → NARROW → TRANSACTIONALIZE → REQUIRE PREDICATE / RENEWED AUTHORIZATION → SEGREGATE → DISABLE BUNDLED CAPABILITY → MONITOR / AUDIT residual capability.</w:t>
            </w:r>
          </w:p>
        </w:tc>
      </w:tr>
    </w:tbl>
    <w:p>
      <w:pPr>
        <w:pStyle w:val="Heading1"/>
      </w:pPr>
      <w:r>
        <w:t>T-70 SOURCE NOTE</w:t>
      </w:r>
    </w:p>
    <w:p>
      <w:r>
        <w:t>The adopted IR-01 controlled extension states that standing technical capability must not materially exceed Necessary Standing Informational Capability, and that Necessary Standing Informational Capability must remain within Standing Legitimate Informational Authority. Required evidence includes the function statement, capability inventory, maximum-knowledge analysis, narrower-architecture alternatives, utility/security/reliability requirements, activation predicates, authorization-transition design, and remediation record.</w:t>
      </w:r>
    </w:p>
    <w:sectPr w:rsidR="00FC693F" w:rsidRPr="0006063C" w:rsidSect="00034616">
      <w:pgSz w:w="15840" w:h="12240" w:orient="landscape"/>
      <w:pgMar w:top="792" w:right="648" w:bottom="792"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